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D2" w:rsidRPr="00CB0BF9" w:rsidRDefault="00E42358" w:rsidP="00CB0BF9">
      <w:pPr>
        <w:pStyle w:val="Ttulo1"/>
        <w:jc w:val="center"/>
        <w:rPr>
          <w:sz w:val="36"/>
          <w:szCs w:val="36"/>
        </w:rPr>
      </w:pPr>
      <w:proofErr w:type="spellStart"/>
      <w:r w:rsidRPr="00CB0BF9">
        <w:rPr>
          <w:sz w:val="36"/>
          <w:szCs w:val="36"/>
        </w:rPr>
        <w:t>Boletí</w:t>
      </w:r>
      <w:r w:rsidRPr="00CB0BF9">
        <w:rPr>
          <w:sz w:val="36"/>
          <w:szCs w:val="36"/>
        </w:rPr>
        <w:t>n</w:t>
      </w:r>
      <w:proofErr w:type="spellEnd"/>
      <w:r w:rsidRPr="00CB0BF9">
        <w:rPr>
          <w:sz w:val="36"/>
          <w:szCs w:val="36"/>
        </w:rPr>
        <w:t xml:space="preserve"> Dis-</w:t>
      </w:r>
      <w:proofErr w:type="spellStart"/>
      <w:r w:rsidRPr="00CB0BF9">
        <w:rPr>
          <w:sz w:val="36"/>
          <w:szCs w:val="36"/>
        </w:rPr>
        <w:t>Capacidad</w:t>
      </w:r>
      <w:proofErr w:type="spellEnd"/>
      <w:r w:rsidRPr="00CB0BF9">
        <w:rPr>
          <w:sz w:val="36"/>
          <w:szCs w:val="36"/>
        </w:rPr>
        <w:t xml:space="preserve"> </w:t>
      </w:r>
      <w:proofErr w:type="spellStart"/>
      <w:r w:rsidRPr="00CB0BF9">
        <w:rPr>
          <w:sz w:val="36"/>
          <w:szCs w:val="36"/>
        </w:rPr>
        <w:t>en</w:t>
      </w:r>
      <w:proofErr w:type="spellEnd"/>
      <w:r w:rsidRPr="00CB0BF9">
        <w:rPr>
          <w:sz w:val="36"/>
          <w:szCs w:val="36"/>
        </w:rPr>
        <w:t xml:space="preserve"> </w:t>
      </w:r>
      <w:proofErr w:type="spellStart"/>
      <w:r w:rsidRPr="00CB0BF9">
        <w:rPr>
          <w:sz w:val="36"/>
          <w:szCs w:val="36"/>
        </w:rPr>
        <w:t>Acció</w:t>
      </w:r>
      <w:r w:rsidRPr="00CB0BF9">
        <w:rPr>
          <w:sz w:val="36"/>
          <w:szCs w:val="36"/>
        </w:rPr>
        <w:t>n</w:t>
      </w:r>
      <w:proofErr w:type="spellEnd"/>
    </w:p>
    <w:p w:rsidR="001848D2" w:rsidRPr="00CB0BF9" w:rsidRDefault="00E42358" w:rsidP="00CB0BF9">
      <w:pPr>
        <w:pStyle w:val="Ttulo1"/>
        <w:jc w:val="center"/>
        <w:rPr>
          <w:sz w:val="36"/>
          <w:szCs w:val="36"/>
        </w:rPr>
      </w:pPr>
      <w:proofErr w:type="spellStart"/>
      <w:r w:rsidRPr="00CB0BF9">
        <w:rPr>
          <w:sz w:val="36"/>
          <w:szCs w:val="36"/>
        </w:rPr>
        <w:t>Edici</w:t>
      </w:r>
      <w:r w:rsidRPr="00CB0BF9">
        <w:rPr>
          <w:sz w:val="36"/>
          <w:szCs w:val="36"/>
        </w:rPr>
        <w:t>ó</w:t>
      </w:r>
      <w:r w:rsidRPr="00CB0BF9">
        <w:rPr>
          <w:sz w:val="36"/>
          <w:szCs w:val="36"/>
        </w:rPr>
        <w:t>n</w:t>
      </w:r>
      <w:proofErr w:type="spellEnd"/>
      <w:r w:rsidRPr="00CB0BF9">
        <w:rPr>
          <w:sz w:val="36"/>
          <w:szCs w:val="36"/>
        </w:rPr>
        <w:t xml:space="preserve"> de </w:t>
      </w:r>
      <w:proofErr w:type="spellStart"/>
      <w:r w:rsidRPr="00CB0BF9">
        <w:rPr>
          <w:sz w:val="36"/>
          <w:szCs w:val="36"/>
        </w:rPr>
        <w:t>agosto</w:t>
      </w:r>
      <w:proofErr w:type="spellEnd"/>
      <w:r w:rsidRPr="00CB0BF9">
        <w:rPr>
          <w:sz w:val="36"/>
          <w:szCs w:val="36"/>
        </w:rPr>
        <w:t xml:space="preserve"> 2019</w:t>
      </w:r>
    </w:p>
    <w:p w:rsidR="001848D2" w:rsidRDefault="001848D2">
      <w:pPr>
        <w:pStyle w:val="Cuerpo"/>
        <w:jc w:val="both"/>
      </w:pPr>
    </w:p>
    <w:p w:rsidR="001848D2" w:rsidRDefault="00E42358" w:rsidP="00CB0BF9">
      <w:pPr>
        <w:pStyle w:val="Ttulo2"/>
        <w:rPr>
          <w:rStyle w:val="Ninguno"/>
          <w:b w:val="0"/>
          <w:bCs w:val="0"/>
          <w:sz w:val="36"/>
          <w:szCs w:val="36"/>
        </w:rPr>
      </w:pPr>
      <w:r>
        <w:rPr>
          <w:rStyle w:val="Ninguno"/>
          <w:sz w:val="36"/>
          <w:szCs w:val="36"/>
        </w:rPr>
        <w:t>Recurso de amparo sobre pensiones</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La Sala Constitucional de la Corte Suprema de Justicia le concedió una audiencia a la Defensor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de los Habitantes, a efecto de como órgano encargado de proteger </w:t>
      </w:r>
      <w:r w:rsidRPr="00CB0BF9">
        <w:rPr>
          <w:rStyle w:val="Ninguno"/>
          <w:rFonts w:ascii="Times New Roman" w:hAnsi="Times New Roman" w:cs="Times New Roman"/>
          <w:sz w:val="28"/>
          <w:szCs w:val="28"/>
        </w:rPr>
        <w:t>los derechos y los intereses de las y los habitantes, se refiriera al recurso de amparo interpuesto a favor de un grupo de personas con discapacidad mental contra la Dirección Nacional de Pensiones del Ministerio de Trabajo y Seguridad Social.</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El mencionad</w:t>
      </w:r>
      <w:r w:rsidRPr="00CB0BF9">
        <w:rPr>
          <w:rStyle w:val="Ninguno"/>
          <w:rFonts w:ascii="Times New Roman" w:hAnsi="Times New Roman" w:cs="Times New Roman"/>
          <w:sz w:val="28"/>
          <w:szCs w:val="28"/>
        </w:rPr>
        <w:t>o recurso fue presentado en virtud de que la Dirección Nacional de Pensiones suspendió la tramitación del traspaso de la pensión de Hacienda a los amparados, hasta tanto no se les nombre curadores por medio del proceso judicial de insania.</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lang w:val="pt-PT"/>
        </w:rPr>
        <w:t>La Defensor</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de</w:t>
      </w:r>
      <w:r w:rsidRPr="00CB0BF9">
        <w:rPr>
          <w:rStyle w:val="Ninguno"/>
          <w:rFonts w:ascii="Times New Roman" w:hAnsi="Times New Roman" w:cs="Times New Roman"/>
          <w:sz w:val="28"/>
          <w:szCs w:val="28"/>
        </w:rPr>
        <w:t xml:space="preserve"> los Habitantes en su respuesta a </w:t>
      </w:r>
      <w:proofErr w:type="gramStart"/>
      <w:r w:rsidRPr="00CB0BF9">
        <w:rPr>
          <w:rStyle w:val="Ninguno"/>
          <w:rFonts w:ascii="Times New Roman" w:hAnsi="Times New Roman" w:cs="Times New Roman"/>
          <w:sz w:val="28"/>
          <w:szCs w:val="28"/>
        </w:rPr>
        <w:t>la</w:t>
      </w:r>
      <w:proofErr w:type="gramEnd"/>
      <w:r w:rsidRPr="00CB0BF9">
        <w:rPr>
          <w:rStyle w:val="Ninguno"/>
          <w:rFonts w:ascii="Times New Roman" w:hAnsi="Times New Roman" w:cs="Times New Roman"/>
          <w:sz w:val="28"/>
          <w:szCs w:val="28"/>
        </w:rPr>
        <w:t xml:space="preserve"> audiencia concedida indic</w:t>
      </w:r>
      <w:r w:rsidRPr="00CB0BF9">
        <w:rPr>
          <w:rStyle w:val="Ninguno"/>
          <w:rFonts w:ascii="Times New Roman" w:hAnsi="Times New Roman" w:cs="Times New Roman"/>
          <w:sz w:val="28"/>
          <w:szCs w:val="28"/>
        </w:rPr>
        <w:t>ó “</w:t>
      </w:r>
      <w:r w:rsidRPr="00CB0BF9">
        <w:rPr>
          <w:rStyle w:val="Ninguno"/>
          <w:rFonts w:ascii="Times New Roman" w:hAnsi="Times New Roman" w:cs="Times New Roman"/>
          <w:sz w:val="28"/>
          <w:szCs w:val="28"/>
        </w:rPr>
        <w:t>que, para analizar debidamente el recurso de amparo en cuestión, es preciso abordar 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12 de la Convención Sobre los Derechos de las Personas con Discapacidad, ratificado por la Asam</w:t>
      </w:r>
      <w:r w:rsidRPr="00CB0BF9">
        <w:rPr>
          <w:rStyle w:val="Ninguno"/>
          <w:rFonts w:ascii="Times New Roman" w:hAnsi="Times New Roman" w:cs="Times New Roman"/>
          <w:sz w:val="28"/>
          <w:szCs w:val="28"/>
        </w:rPr>
        <w:t>blea Legislativa mediante la Ley N</w:t>
      </w:r>
      <w:r w:rsidRPr="00CB0BF9">
        <w:rPr>
          <w:rStyle w:val="Ninguno"/>
          <w:rFonts w:ascii="Times New Roman" w:hAnsi="Times New Roman" w:cs="Times New Roman"/>
          <w:sz w:val="28"/>
          <w:szCs w:val="28"/>
        </w:rPr>
        <w:t xml:space="preserve">º </w:t>
      </w:r>
      <w:r w:rsidRPr="00CB0BF9">
        <w:rPr>
          <w:rStyle w:val="Ninguno"/>
          <w:rFonts w:ascii="Times New Roman" w:hAnsi="Times New Roman" w:cs="Times New Roman"/>
          <w:sz w:val="28"/>
          <w:szCs w:val="28"/>
        </w:rPr>
        <w:t>8661 de fecha el 7 de agosto de 2008</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lang w:val="pt-PT"/>
        </w:rPr>
        <w:t>Agreg</w:t>
      </w:r>
      <w:proofErr w:type="spellStart"/>
      <w:r w:rsidRPr="00CB0BF9">
        <w:rPr>
          <w:rStyle w:val="Ninguno"/>
          <w:rFonts w:ascii="Times New Roman" w:hAnsi="Times New Roman" w:cs="Times New Roman"/>
          <w:sz w:val="28"/>
          <w:szCs w:val="28"/>
        </w:rPr>
        <w:t>ó</w:t>
      </w:r>
      <w:proofErr w:type="spellEnd"/>
      <w:r w:rsidRPr="00CB0BF9">
        <w:rPr>
          <w:rStyle w:val="Ninguno"/>
          <w:rFonts w:ascii="Times New Roman" w:hAnsi="Times New Roman" w:cs="Times New Roman"/>
          <w:sz w:val="28"/>
          <w:szCs w:val="28"/>
        </w:rPr>
        <w:t xml:space="preserve"> </w:t>
      </w:r>
      <w:proofErr w:type="gramStart"/>
      <w:r w:rsidRPr="00CB0BF9">
        <w:rPr>
          <w:rStyle w:val="Ninguno"/>
          <w:rFonts w:ascii="Times New Roman" w:hAnsi="Times New Roman" w:cs="Times New Roman"/>
          <w:sz w:val="28"/>
          <w:szCs w:val="28"/>
          <w:lang w:val="pt-PT"/>
        </w:rPr>
        <w:t>la</w:t>
      </w:r>
      <w:proofErr w:type="gramEnd"/>
      <w:r w:rsidRPr="00CB0BF9">
        <w:rPr>
          <w:rStyle w:val="Ninguno"/>
          <w:rFonts w:ascii="Times New Roman" w:hAnsi="Times New Roman" w:cs="Times New Roman"/>
          <w:sz w:val="28"/>
          <w:szCs w:val="28"/>
          <w:lang w:val="pt-PT"/>
        </w:rPr>
        <w:t xml:space="preserve"> Defensor</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de los Habitantes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el mencionado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conlleva un cambio profundo en el tema de la capacidad de las personas con discapacidad.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 consiste en reivindic</w:t>
      </w:r>
      <w:r w:rsidRPr="00CB0BF9">
        <w:rPr>
          <w:rStyle w:val="Ninguno"/>
          <w:rFonts w:ascii="Times New Roman" w:hAnsi="Times New Roman" w:cs="Times New Roman"/>
          <w:sz w:val="28"/>
          <w:szCs w:val="28"/>
        </w:rPr>
        <w:t>ar el derecho que deben tener las personas con discapacidad de tomar sus propias decisiones. Esto implica la transformación del Modelo de toma de decisiones sustitutivas que establece que se debe nombrar a un o una representante que tome decisiones por las</w:t>
      </w:r>
      <w:r w:rsidRPr="00CB0BF9">
        <w:rPr>
          <w:rStyle w:val="Ninguno"/>
          <w:rFonts w:ascii="Times New Roman" w:hAnsi="Times New Roman" w:cs="Times New Roman"/>
          <w:sz w:val="28"/>
          <w:szCs w:val="28"/>
        </w:rPr>
        <w:t xml:space="preserve"> personas con discapacidad intelectual o mental,</w:t>
      </w:r>
      <w:r w:rsidRPr="00CB0BF9">
        <w:rPr>
          <w:rStyle w:val="Ninguno"/>
          <w:rFonts w:ascii="Times New Roman" w:hAnsi="Times New Roman" w:cs="Times New Roman"/>
          <w:sz w:val="28"/>
          <w:szCs w:val="28"/>
        </w:rPr>
        <w:t xml:space="preserve"> </w:t>
      </w:r>
      <w:r w:rsidRPr="00CB0BF9">
        <w:rPr>
          <w:rStyle w:val="Ninguno"/>
          <w:rFonts w:ascii="Times New Roman" w:hAnsi="Times New Roman" w:cs="Times New Roman"/>
          <w:sz w:val="28"/>
          <w:szCs w:val="28"/>
        </w:rPr>
        <w:t>por el de Toma de Decisiones con Apoyo que impulsa que a las personas con discapacidad se le brinde ayudas en la adopción de decisiones</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De igual manera, se señ</w:t>
      </w:r>
      <w:r w:rsidRPr="00CB0BF9">
        <w:rPr>
          <w:rStyle w:val="Ninguno"/>
          <w:rFonts w:ascii="Times New Roman" w:hAnsi="Times New Roman" w:cs="Times New Roman"/>
          <w:sz w:val="28"/>
          <w:szCs w:val="28"/>
        </w:rPr>
        <w:t>al</w:t>
      </w:r>
      <w:r w:rsidRPr="00CB0BF9">
        <w:rPr>
          <w:rStyle w:val="Ninguno"/>
          <w:rFonts w:ascii="Times New Roman" w:hAnsi="Times New Roman" w:cs="Times New Roman"/>
          <w:sz w:val="28"/>
          <w:szCs w:val="28"/>
        </w:rPr>
        <w:t xml:space="preserve">ó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todas las personas, independientement</w:t>
      </w:r>
      <w:r w:rsidRPr="00CB0BF9">
        <w:rPr>
          <w:rStyle w:val="Ninguno"/>
          <w:rFonts w:ascii="Times New Roman" w:hAnsi="Times New Roman" w:cs="Times New Roman"/>
          <w:sz w:val="28"/>
          <w:szCs w:val="28"/>
        </w:rPr>
        <w:t xml:space="preserve">e de su discapacidad, cuentan con el derecho de decidir sobre el destino de sus vidas y es función de los Estados suministrar los apoyos que necesitan para ejercer sus </w:t>
      </w:r>
      <w:r w:rsidRPr="00CB0BF9">
        <w:rPr>
          <w:rStyle w:val="Ninguno"/>
          <w:rFonts w:ascii="Times New Roman" w:hAnsi="Times New Roman" w:cs="Times New Roman"/>
          <w:sz w:val="28"/>
          <w:szCs w:val="28"/>
        </w:rPr>
        <w:lastRenderedPageBreak/>
        <w:t xml:space="preserve">derechos. Esto conduce inevitablemente a la </w:t>
      </w:r>
      <w:proofErr w:type="spellStart"/>
      <w:r w:rsidRPr="00CB0BF9">
        <w:rPr>
          <w:rStyle w:val="Ninguno"/>
          <w:rFonts w:ascii="Times New Roman" w:hAnsi="Times New Roman" w:cs="Times New Roman"/>
          <w:sz w:val="28"/>
          <w:szCs w:val="28"/>
        </w:rPr>
        <w:t>abolició</w:t>
      </w:r>
      <w:proofErr w:type="spellEnd"/>
      <w:r w:rsidRPr="00CB0BF9">
        <w:rPr>
          <w:rStyle w:val="Ninguno"/>
          <w:rFonts w:ascii="Times New Roman" w:hAnsi="Times New Roman" w:cs="Times New Roman"/>
          <w:sz w:val="28"/>
          <w:szCs w:val="28"/>
          <w:lang w:val="it-IT"/>
        </w:rPr>
        <w:t>n del instituto de la curatela.</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lang w:val="pt-PT"/>
        </w:rPr>
        <w:t xml:space="preserve">La </w:t>
      </w:r>
      <w:r w:rsidRPr="00CB0BF9">
        <w:rPr>
          <w:rStyle w:val="Ninguno"/>
          <w:rFonts w:ascii="Times New Roman" w:hAnsi="Times New Roman" w:cs="Times New Roman"/>
          <w:sz w:val="28"/>
          <w:szCs w:val="28"/>
          <w:lang w:val="pt-PT"/>
        </w:rPr>
        <w:t>Defensor</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de los Habitantes </w:t>
      </w:r>
      <w:proofErr w:type="spellStart"/>
      <w:r w:rsidRPr="00CB0BF9">
        <w:rPr>
          <w:rStyle w:val="Ninguno"/>
          <w:rFonts w:ascii="Times New Roman" w:hAnsi="Times New Roman" w:cs="Times New Roman"/>
          <w:sz w:val="28"/>
          <w:szCs w:val="28"/>
        </w:rPr>
        <w:t>tambi</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 xml:space="preserve">n en su respuesta citó </w:t>
      </w:r>
      <w:proofErr w:type="gramStart"/>
      <w:r w:rsidRPr="00CB0BF9">
        <w:rPr>
          <w:rStyle w:val="Ninguno"/>
          <w:rFonts w:ascii="Times New Roman" w:hAnsi="Times New Roman" w:cs="Times New Roman"/>
          <w:sz w:val="28"/>
          <w:szCs w:val="28"/>
        </w:rPr>
        <w:t>la</w:t>
      </w:r>
      <w:proofErr w:type="gramEnd"/>
      <w:r w:rsidRPr="00CB0BF9">
        <w:rPr>
          <w:rStyle w:val="Ninguno"/>
          <w:rFonts w:ascii="Times New Roman" w:hAnsi="Times New Roman" w:cs="Times New Roman"/>
          <w:sz w:val="28"/>
          <w:szCs w:val="28"/>
        </w:rPr>
        <w:t xml:space="preserve"> Ley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9379 Para la Promoción de la Autonom</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 Personal de las Personas con Discapacidad, promulgada el 30 de junio del 2016, por la Asamblea Legislativa. Dicha Ley creó la figura del garante para</w:t>
      </w:r>
      <w:r w:rsidRPr="00CB0BF9">
        <w:rPr>
          <w:rStyle w:val="Ninguno"/>
          <w:rFonts w:ascii="Times New Roman" w:hAnsi="Times New Roman" w:cs="Times New Roman"/>
          <w:sz w:val="28"/>
          <w:szCs w:val="28"/>
        </w:rPr>
        <w:t xml:space="preserve"> la igualdad jur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dica de las personas con discapacidad y derogó </w:t>
      </w:r>
      <w:r w:rsidRPr="00CB0BF9">
        <w:rPr>
          <w:rStyle w:val="Ninguno"/>
          <w:rFonts w:ascii="Times New Roman" w:hAnsi="Times New Roman" w:cs="Times New Roman"/>
          <w:sz w:val="28"/>
          <w:szCs w:val="28"/>
          <w:lang w:val="pt-PT"/>
        </w:rPr>
        <w:t>el instituto jur</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dico</w:t>
      </w:r>
      <w:proofErr w:type="spellEnd"/>
      <w:r w:rsidRPr="00CB0BF9">
        <w:rPr>
          <w:rStyle w:val="Ninguno"/>
          <w:rFonts w:ascii="Times New Roman" w:hAnsi="Times New Roman" w:cs="Times New Roman"/>
          <w:sz w:val="28"/>
          <w:szCs w:val="28"/>
        </w:rPr>
        <w:t xml:space="preserve"> de la curatela, mediante la reforma de varias normas del Código de Familia y Código Procesal Civil que la regulaban.</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Finalmente, la Defensor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de los Habitantes sostuvo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que la solicitud de la Dirección Nacional de Pensiones, de tener que presentar el proceso de insania en alg</w:t>
      </w:r>
      <w:r w:rsidRPr="00CB0BF9">
        <w:rPr>
          <w:rStyle w:val="Ninguno"/>
          <w:rFonts w:ascii="Times New Roman" w:hAnsi="Times New Roman" w:cs="Times New Roman"/>
          <w:sz w:val="28"/>
          <w:szCs w:val="28"/>
        </w:rPr>
        <w:t>ú</w:t>
      </w:r>
      <w:r w:rsidRPr="00CB0BF9">
        <w:rPr>
          <w:rStyle w:val="Ninguno"/>
          <w:rFonts w:ascii="Times New Roman" w:hAnsi="Times New Roman" w:cs="Times New Roman"/>
          <w:sz w:val="28"/>
          <w:szCs w:val="28"/>
        </w:rPr>
        <w:t xml:space="preserve">n juzgado de Familia previo a continuar con los procedimientos de traspaso de la pensión a los amparados, constituye en una transgresión al derecho </w:t>
      </w:r>
      <w:r w:rsidRPr="00CB0BF9">
        <w:rPr>
          <w:rStyle w:val="Ninguno"/>
          <w:rFonts w:ascii="Times New Roman" w:hAnsi="Times New Roman" w:cs="Times New Roman"/>
          <w:sz w:val="28"/>
          <w:szCs w:val="28"/>
        </w:rPr>
        <w:t>reconocido en 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12 de la Convención Sobre los Derechos de las Personas con Discapacidad, cuyo contenido esencial es el tomar decisiones sobre sus vidas</w:t>
      </w:r>
      <w:r w:rsidRPr="00CB0BF9">
        <w:rPr>
          <w:rStyle w:val="Ninguno"/>
          <w:rFonts w:ascii="Times New Roman" w:hAnsi="Times New Roman" w:cs="Times New Roman"/>
          <w:sz w:val="28"/>
          <w:szCs w:val="28"/>
        </w:rPr>
        <w:t xml:space="preserve">”. </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Mediante el voto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 xml:space="preserve">2019010961 del 14 de junio de 2019, la Sala Constitucional declaró con </w:t>
      </w:r>
      <w:r w:rsidRPr="00CB0BF9">
        <w:rPr>
          <w:rStyle w:val="Ninguno"/>
          <w:rFonts w:ascii="Times New Roman" w:hAnsi="Times New Roman" w:cs="Times New Roman"/>
          <w:sz w:val="28"/>
          <w:szCs w:val="28"/>
        </w:rPr>
        <w:t>lugar el recurso de amparo mencionado y anuló las resoluciones de la Dirección Nacional de Pensiones que solicitaron a las personas con discapacidad iniciar los procesos judiciales para el nombramiento de curadores. Asimismo, ordenó a la Dirección Nacional</w:t>
      </w:r>
      <w:r w:rsidRPr="00CB0BF9">
        <w:rPr>
          <w:rStyle w:val="Ninguno"/>
          <w:rFonts w:ascii="Times New Roman" w:hAnsi="Times New Roman" w:cs="Times New Roman"/>
          <w:sz w:val="28"/>
          <w:szCs w:val="28"/>
        </w:rPr>
        <w:t xml:space="preserve"> de Pensiones continuar con el tr</w:t>
      </w:r>
      <w:r w:rsidRPr="00CB0BF9">
        <w:rPr>
          <w:rStyle w:val="Ninguno"/>
          <w:rFonts w:ascii="Times New Roman" w:hAnsi="Times New Roman" w:cs="Times New Roman"/>
          <w:sz w:val="28"/>
          <w:szCs w:val="28"/>
        </w:rPr>
        <w:t>á</w:t>
      </w:r>
      <w:r w:rsidRPr="00CB0BF9">
        <w:rPr>
          <w:rStyle w:val="Ninguno"/>
          <w:rFonts w:ascii="Times New Roman" w:hAnsi="Times New Roman" w:cs="Times New Roman"/>
          <w:sz w:val="28"/>
          <w:szCs w:val="28"/>
        </w:rPr>
        <w:t>mite de solicitud de traspaso de pensió</w:t>
      </w:r>
      <w:r w:rsidRPr="00CB0BF9">
        <w:rPr>
          <w:rStyle w:val="Ninguno"/>
          <w:rFonts w:ascii="Times New Roman" w:hAnsi="Times New Roman" w:cs="Times New Roman"/>
          <w:sz w:val="28"/>
          <w:szCs w:val="28"/>
        </w:rPr>
        <w:t>n.</w:t>
      </w:r>
    </w:p>
    <w:p w:rsidR="001848D2" w:rsidRDefault="00E42358" w:rsidP="00CB0BF9">
      <w:pPr>
        <w:pStyle w:val="Ttulo2"/>
        <w:jc w:val="center"/>
        <w:rPr>
          <w:rStyle w:val="Ninguno"/>
          <w:b w:val="0"/>
          <w:bCs w:val="0"/>
          <w:sz w:val="36"/>
          <w:szCs w:val="36"/>
        </w:rPr>
      </w:pPr>
      <w:r>
        <w:rPr>
          <w:rStyle w:val="Ninguno"/>
          <w:sz w:val="36"/>
          <w:szCs w:val="36"/>
        </w:rPr>
        <w:t>Consentimiento informado</w:t>
      </w:r>
    </w:p>
    <w:p w:rsidR="001848D2" w:rsidRDefault="00E42358" w:rsidP="00CB0BF9">
      <w:pPr>
        <w:pStyle w:val="Ttulo2"/>
        <w:jc w:val="center"/>
        <w:rPr>
          <w:rStyle w:val="Ninguno"/>
          <w:b w:val="0"/>
          <w:bCs w:val="0"/>
          <w:sz w:val="36"/>
          <w:szCs w:val="36"/>
        </w:rPr>
      </w:pPr>
      <w:proofErr w:type="gramStart"/>
      <w:r>
        <w:rPr>
          <w:rStyle w:val="Ninguno"/>
          <w:sz w:val="36"/>
          <w:szCs w:val="36"/>
        </w:rPr>
        <w:t>en</w:t>
      </w:r>
      <w:proofErr w:type="gramEnd"/>
      <w:r>
        <w:rPr>
          <w:rStyle w:val="Ninguno"/>
          <w:sz w:val="36"/>
          <w:szCs w:val="36"/>
        </w:rPr>
        <w:t xml:space="preserve"> la investigación biomédica</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El 3 de julio de 2019, la Defensor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 de los Habitantes presentó a la Comisión de Gobierno de la Asamblea Legislativa su crit</w:t>
      </w:r>
      <w:r w:rsidRPr="00CB0BF9">
        <w:rPr>
          <w:rStyle w:val="Ninguno"/>
          <w:rFonts w:ascii="Times New Roman" w:hAnsi="Times New Roman" w:cs="Times New Roman"/>
          <w:sz w:val="28"/>
          <w:szCs w:val="28"/>
        </w:rPr>
        <w:t>erio con respecto al Proyecto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21096 “</w:t>
      </w:r>
      <w:r w:rsidRPr="00CB0BF9">
        <w:rPr>
          <w:rStyle w:val="Ninguno"/>
          <w:rFonts w:ascii="Times New Roman" w:hAnsi="Times New Roman" w:cs="Times New Roman"/>
          <w:sz w:val="28"/>
          <w:szCs w:val="28"/>
          <w:lang w:val="it-IT"/>
        </w:rPr>
        <w:t>Derogatoria del Art</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w:t>
      </w:r>
      <w:proofErr w:type="spellEnd"/>
      <w:r w:rsidRPr="00CB0BF9">
        <w:rPr>
          <w:rStyle w:val="Ninguno"/>
          <w:rFonts w:ascii="Times New Roman" w:hAnsi="Times New Roman" w:cs="Times New Roman"/>
          <w:sz w:val="28"/>
          <w:szCs w:val="28"/>
        </w:rPr>
        <w:t xml:space="preserve"> 18 de la Ley Reguladora de la Investigació</w:t>
      </w:r>
      <w:r w:rsidRPr="00CB0BF9">
        <w:rPr>
          <w:rStyle w:val="Ninguno"/>
          <w:rFonts w:ascii="Times New Roman" w:hAnsi="Times New Roman" w:cs="Times New Roman"/>
          <w:sz w:val="28"/>
          <w:szCs w:val="28"/>
        </w:rPr>
        <w:t xml:space="preserve">n </w:t>
      </w:r>
      <w:proofErr w:type="spellStart"/>
      <w:r w:rsidRPr="00CB0BF9">
        <w:rPr>
          <w:rStyle w:val="Ninguno"/>
          <w:rFonts w:ascii="Times New Roman" w:hAnsi="Times New Roman" w:cs="Times New Roman"/>
          <w:sz w:val="28"/>
          <w:szCs w:val="28"/>
        </w:rPr>
        <w:t>Biom</w:t>
      </w:r>
      <w:proofErr w:type="spellEnd"/>
      <w:r w:rsidRPr="00CB0BF9">
        <w:rPr>
          <w:rStyle w:val="Ninguno"/>
          <w:rFonts w:ascii="Times New Roman" w:hAnsi="Times New Roman" w:cs="Times New Roman"/>
          <w:sz w:val="28"/>
          <w:szCs w:val="28"/>
          <w:lang w:val="fr-FR"/>
        </w:rPr>
        <w:t>é</w:t>
      </w:r>
      <w:proofErr w:type="spellStart"/>
      <w:r w:rsidRPr="00CB0BF9">
        <w:rPr>
          <w:rStyle w:val="Ninguno"/>
          <w:rFonts w:ascii="Times New Roman" w:hAnsi="Times New Roman" w:cs="Times New Roman"/>
          <w:sz w:val="28"/>
          <w:szCs w:val="28"/>
        </w:rPr>
        <w:t>dica</w:t>
      </w:r>
      <w:proofErr w:type="spellEnd"/>
      <w:r w:rsidRPr="00CB0BF9">
        <w:rPr>
          <w:rStyle w:val="Ninguno"/>
          <w:rFonts w:ascii="Times New Roman" w:hAnsi="Times New Roman" w:cs="Times New Roman"/>
          <w:sz w:val="28"/>
          <w:szCs w:val="28"/>
        </w:rPr>
        <w:t xml:space="preserve"> del 25 de abril del 2014</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en mención se refiere al consentimiento informado de las personas con discapacidad intelectual y m</w:t>
      </w:r>
      <w:r w:rsidRPr="00CB0BF9">
        <w:rPr>
          <w:rStyle w:val="Ninguno"/>
          <w:rFonts w:ascii="Times New Roman" w:hAnsi="Times New Roman" w:cs="Times New Roman"/>
          <w:sz w:val="28"/>
          <w:szCs w:val="28"/>
        </w:rPr>
        <w:t>ental que participan en la investigació</w:t>
      </w:r>
      <w:r w:rsidRPr="00CB0BF9">
        <w:rPr>
          <w:rStyle w:val="Ninguno"/>
          <w:rFonts w:ascii="Times New Roman" w:hAnsi="Times New Roman" w:cs="Times New Roman"/>
          <w:sz w:val="28"/>
          <w:szCs w:val="28"/>
        </w:rPr>
        <w:t xml:space="preserve">n </w:t>
      </w:r>
      <w:proofErr w:type="spellStart"/>
      <w:r w:rsidRPr="00CB0BF9">
        <w:rPr>
          <w:rStyle w:val="Ninguno"/>
          <w:rFonts w:ascii="Times New Roman" w:hAnsi="Times New Roman" w:cs="Times New Roman"/>
          <w:sz w:val="28"/>
          <w:szCs w:val="28"/>
        </w:rPr>
        <w:t>biom</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lang w:val="pt-PT"/>
        </w:rPr>
        <w:t>dica. Espec</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ficamente</w:t>
      </w:r>
      <w:proofErr w:type="spellEnd"/>
      <w:r w:rsidRPr="00CB0BF9">
        <w:rPr>
          <w:rStyle w:val="Ninguno"/>
          <w:rFonts w:ascii="Times New Roman" w:hAnsi="Times New Roman" w:cs="Times New Roman"/>
          <w:sz w:val="28"/>
          <w:szCs w:val="28"/>
        </w:rPr>
        <w:t xml:space="preserve">, </w:t>
      </w:r>
      <w:proofErr w:type="gramStart"/>
      <w:r w:rsidRPr="00CB0BF9">
        <w:rPr>
          <w:rStyle w:val="Ninguno"/>
          <w:rFonts w:ascii="Times New Roman" w:hAnsi="Times New Roman" w:cs="Times New Roman"/>
          <w:sz w:val="28"/>
          <w:szCs w:val="28"/>
        </w:rPr>
        <w:t>el</w:t>
      </w:r>
      <w:proofErr w:type="gramEnd"/>
      <w:r w:rsidRPr="00CB0BF9">
        <w:rPr>
          <w:rStyle w:val="Ninguno"/>
          <w:rFonts w:ascii="Times New Roman" w:hAnsi="Times New Roman" w:cs="Times New Roman"/>
          <w:sz w:val="28"/>
          <w:szCs w:val="28"/>
        </w:rPr>
        <w:t xml:space="preserve"> </w:t>
      </w:r>
      <w:proofErr w:type="spellStart"/>
      <w:r w:rsidRPr="00CB0BF9">
        <w:rPr>
          <w:rStyle w:val="Ninguno"/>
          <w:rFonts w:ascii="Times New Roman" w:hAnsi="Times New Roman" w:cs="Times New Roman"/>
          <w:sz w:val="28"/>
          <w:szCs w:val="28"/>
        </w:rPr>
        <w:t>art</w:t>
      </w:r>
      <w:r w:rsidRPr="00CB0BF9">
        <w:rPr>
          <w:rStyle w:val="Ninguno"/>
          <w:rFonts w:ascii="Times New Roman" w:hAnsi="Times New Roman" w:cs="Times New Roman"/>
          <w:sz w:val="28"/>
          <w:szCs w:val="28"/>
        </w:rPr>
        <w:t>í</w:t>
      </w:r>
      <w:proofErr w:type="spellEnd"/>
      <w:r w:rsidRPr="00CB0BF9">
        <w:rPr>
          <w:rStyle w:val="Ninguno"/>
          <w:rFonts w:ascii="Times New Roman" w:hAnsi="Times New Roman" w:cs="Times New Roman"/>
          <w:sz w:val="28"/>
          <w:szCs w:val="28"/>
          <w:lang w:val="pt-PT"/>
        </w:rPr>
        <w:t>culo 18 se</w:t>
      </w:r>
      <w:proofErr w:type="spellStart"/>
      <w:r w:rsidRPr="00CB0BF9">
        <w:rPr>
          <w:rStyle w:val="Ninguno"/>
          <w:rFonts w:ascii="Times New Roman" w:hAnsi="Times New Roman" w:cs="Times New Roman"/>
          <w:sz w:val="28"/>
          <w:szCs w:val="28"/>
        </w:rPr>
        <w:t>ñ</w:t>
      </w:r>
      <w:r w:rsidRPr="00CB0BF9">
        <w:rPr>
          <w:rStyle w:val="Ninguno"/>
          <w:rFonts w:ascii="Times New Roman" w:hAnsi="Times New Roman" w:cs="Times New Roman"/>
          <w:sz w:val="28"/>
          <w:szCs w:val="28"/>
        </w:rPr>
        <w:t>ala</w:t>
      </w:r>
      <w:proofErr w:type="spellEnd"/>
      <w:r w:rsidRPr="00CB0BF9">
        <w:rPr>
          <w:rStyle w:val="Ninguno"/>
          <w:rFonts w:ascii="Times New Roman" w:hAnsi="Times New Roman" w:cs="Times New Roman"/>
          <w:sz w:val="28"/>
          <w:szCs w:val="28"/>
        </w:rPr>
        <w:t>: “</w:t>
      </w:r>
      <w:r w:rsidRPr="00CB0BF9">
        <w:rPr>
          <w:rStyle w:val="Ninguno"/>
          <w:rFonts w:ascii="Times New Roman" w:hAnsi="Times New Roman" w:cs="Times New Roman"/>
          <w:sz w:val="28"/>
          <w:szCs w:val="28"/>
        </w:rPr>
        <w:t xml:space="preserve">En el caso de investigaciones </w:t>
      </w:r>
      <w:proofErr w:type="spellStart"/>
      <w:r w:rsidRPr="00CB0BF9">
        <w:rPr>
          <w:rStyle w:val="Ninguno"/>
          <w:rFonts w:ascii="Times New Roman" w:hAnsi="Times New Roman" w:cs="Times New Roman"/>
          <w:sz w:val="28"/>
          <w:szCs w:val="28"/>
        </w:rPr>
        <w:t>biom</w:t>
      </w:r>
      <w:proofErr w:type="spellEnd"/>
      <w:r w:rsidRPr="00CB0BF9">
        <w:rPr>
          <w:rStyle w:val="Ninguno"/>
          <w:rFonts w:ascii="Times New Roman" w:hAnsi="Times New Roman" w:cs="Times New Roman"/>
          <w:sz w:val="28"/>
          <w:szCs w:val="28"/>
          <w:lang w:val="fr-FR"/>
        </w:rPr>
        <w:t>é</w:t>
      </w:r>
      <w:proofErr w:type="spellStart"/>
      <w:r w:rsidRPr="00CB0BF9">
        <w:rPr>
          <w:rStyle w:val="Ninguno"/>
          <w:rFonts w:ascii="Times New Roman" w:hAnsi="Times New Roman" w:cs="Times New Roman"/>
          <w:sz w:val="28"/>
          <w:szCs w:val="28"/>
        </w:rPr>
        <w:t>dicas</w:t>
      </w:r>
      <w:proofErr w:type="spellEnd"/>
      <w:r w:rsidRPr="00CB0BF9">
        <w:rPr>
          <w:rStyle w:val="Ninguno"/>
          <w:rFonts w:ascii="Times New Roman" w:hAnsi="Times New Roman" w:cs="Times New Roman"/>
          <w:sz w:val="28"/>
          <w:szCs w:val="28"/>
        </w:rPr>
        <w:t xml:space="preserve"> en las que participen personas declaradas como incapaces, mediante un proceso judicial, el consentimiento informado debe s</w:t>
      </w:r>
      <w:r w:rsidRPr="00CB0BF9">
        <w:rPr>
          <w:rStyle w:val="Ninguno"/>
          <w:rFonts w:ascii="Times New Roman" w:hAnsi="Times New Roman" w:cs="Times New Roman"/>
          <w:sz w:val="28"/>
          <w:szCs w:val="28"/>
        </w:rPr>
        <w:t>er suscrito por su representante</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lastRenderedPageBreak/>
        <w:t xml:space="preserve">Le correspondió a la Dirección de Calidad de Vida elaborar dicho criterio en el cual se indicó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la norma transcrita debe ser analizada a la luz del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12 de la Convención Sobre los Derechos de las Personas con D</w:t>
      </w:r>
      <w:r w:rsidRPr="00CB0BF9">
        <w:rPr>
          <w:rStyle w:val="Ninguno"/>
          <w:rFonts w:ascii="Times New Roman" w:hAnsi="Times New Roman" w:cs="Times New Roman"/>
          <w:sz w:val="28"/>
          <w:szCs w:val="28"/>
        </w:rPr>
        <w:t>iscapacidad, que fue ratificada por el Estado Costarricense mediante la Ley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8661 del 7 de agosto de 2008.</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lang w:val="it-IT"/>
        </w:rPr>
        <w:t>Contin</w:t>
      </w:r>
      <w:proofErr w:type="spellStart"/>
      <w:r w:rsidRPr="00CB0BF9">
        <w:rPr>
          <w:rStyle w:val="Ninguno"/>
          <w:rFonts w:ascii="Times New Roman" w:hAnsi="Times New Roman" w:cs="Times New Roman"/>
          <w:sz w:val="28"/>
          <w:szCs w:val="28"/>
        </w:rPr>
        <w:t>úa</w:t>
      </w:r>
      <w:proofErr w:type="spellEnd"/>
      <w:r w:rsidRPr="00CB0BF9">
        <w:rPr>
          <w:rStyle w:val="Ninguno"/>
          <w:rFonts w:ascii="Times New Roman" w:hAnsi="Times New Roman" w:cs="Times New Roman"/>
          <w:sz w:val="28"/>
          <w:szCs w:val="28"/>
        </w:rPr>
        <w:t xml:space="preserve"> se</w:t>
      </w:r>
      <w:r w:rsidRPr="00CB0BF9">
        <w:rPr>
          <w:rStyle w:val="Ninguno"/>
          <w:rFonts w:ascii="Times New Roman" w:hAnsi="Times New Roman" w:cs="Times New Roman"/>
          <w:sz w:val="28"/>
          <w:szCs w:val="28"/>
        </w:rPr>
        <w:t xml:space="preserve">ñalando el criterio vertido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culo 12, parte de la idea de que la capacidad de todas las personas es relativa. Contrario a </w:t>
      </w:r>
      <w:r w:rsidRPr="00CB0BF9">
        <w:rPr>
          <w:rStyle w:val="Ninguno"/>
          <w:rFonts w:ascii="Times New Roman" w:hAnsi="Times New Roman" w:cs="Times New Roman"/>
          <w:sz w:val="28"/>
          <w:szCs w:val="28"/>
        </w:rPr>
        <w:t xml:space="preserve">las normas de nuestro Código Civil y de Familia hoy derogados por la Ley para la </w:t>
      </w:r>
      <w:proofErr w:type="spellStart"/>
      <w:r w:rsidRPr="00CB0BF9">
        <w:rPr>
          <w:rStyle w:val="Ninguno"/>
          <w:rFonts w:ascii="Times New Roman" w:hAnsi="Times New Roman" w:cs="Times New Roman"/>
          <w:sz w:val="28"/>
          <w:szCs w:val="28"/>
        </w:rPr>
        <w:t>Promoció</w:t>
      </w:r>
      <w:proofErr w:type="spellEnd"/>
      <w:r w:rsidRPr="00CB0BF9">
        <w:rPr>
          <w:rStyle w:val="Ninguno"/>
          <w:rFonts w:ascii="Times New Roman" w:hAnsi="Times New Roman" w:cs="Times New Roman"/>
          <w:sz w:val="28"/>
          <w:szCs w:val="28"/>
          <w:lang w:val="nl-NL"/>
        </w:rPr>
        <w:t>n de Autonom</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Personal de la Personas con Discapacidad,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9339 del 30 de agosto de 2016, as</w:t>
      </w:r>
      <w:r w:rsidRPr="00CB0BF9">
        <w:rPr>
          <w:rStyle w:val="Ninguno"/>
          <w:rFonts w:ascii="Times New Roman" w:hAnsi="Times New Roman" w:cs="Times New Roman"/>
          <w:sz w:val="28"/>
          <w:szCs w:val="28"/>
        </w:rPr>
        <w:t xml:space="preserve">í </w:t>
      </w:r>
      <w:r w:rsidRPr="00CB0BF9">
        <w:rPr>
          <w:rStyle w:val="Ninguno"/>
          <w:rFonts w:ascii="Times New Roman" w:hAnsi="Times New Roman" w:cs="Times New Roman"/>
          <w:sz w:val="28"/>
          <w:szCs w:val="28"/>
        </w:rPr>
        <w:t>como la legislación de muchos pa</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ses, que consideran que en este tema </w:t>
      </w:r>
      <w:r w:rsidRPr="00CB0BF9">
        <w:rPr>
          <w:rStyle w:val="Ninguno"/>
          <w:rFonts w:ascii="Times New Roman" w:hAnsi="Times New Roman" w:cs="Times New Roman"/>
          <w:sz w:val="28"/>
          <w:szCs w:val="28"/>
        </w:rPr>
        <w:t>ú</w:t>
      </w:r>
      <w:r w:rsidRPr="00CB0BF9">
        <w:rPr>
          <w:rStyle w:val="Ninguno"/>
          <w:rFonts w:ascii="Times New Roman" w:hAnsi="Times New Roman" w:cs="Times New Roman"/>
          <w:sz w:val="28"/>
          <w:szCs w:val="28"/>
        </w:rPr>
        <w:t>n</w:t>
      </w:r>
      <w:r w:rsidRPr="00CB0BF9">
        <w:rPr>
          <w:rStyle w:val="Ninguno"/>
          <w:rFonts w:ascii="Times New Roman" w:hAnsi="Times New Roman" w:cs="Times New Roman"/>
          <w:sz w:val="28"/>
          <w:szCs w:val="28"/>
        </w:rPr>
        <w:t>icamente existen dos alternativas: se tiene capacidad o no se tiene.</w:t>
      </w:r>
    </w:p>
    <w:p w:rsidR="001848D2" w:rsidRPr="00CB0BF9" w:rsidRDefault="00E42358">
      <w:pPr>
        <w:pStyle w:val="Cuerpo"/>
        <w:jc w:val="both"/>
        <w:rPr>
          <w:rFonts w:ascii="Times New Roman" w:hAnsi="Times New Roman" w:cs="Times New Roman"/>
          <w:sz w:val="28"/>
          <w:szCs w:val="28"/>
        </w:rPr>
      </w:pPr>
      <w:proofErr w:type="spellStart"/>
      <w:r w:rsidRPr="00CB0BF9">
        <w:rPr>
          <w:rStyle w:val="Ninguno"/>
          <w:rFonts w:ascii="Times New Roman" w:hAnsi="Times New Roman" w:cs="Times New Roman"/>
          <w:sz w:val="28"/>
          <w:szCs w:val="28"/>
        </w:rPr>
        <w:t>Adem</w:t>
      </w:r>
      <w:r w:rsidRPr="00CB0BF9">
        <w:rPr>
          <w:rStyle w:val="Ninguno"/>
          <w:rFonts w:ascii="Times New Roman" w:hAnsi="Times New Roman" w:cs="Times New Roman"/>
          <w:sz w:val="28"/>
          <w:szCs w:val="28"/>
        </w:rPr>
        <w:t>á</w:t>
      </w:r>
      <w:proofErr w:type="spellEnd"/>
      <w:r w:rsidRPr="00CB0BF9">
        <w:rPr>
          <w:rStyle w:val="Ninguno"/>
          <w:rFonts w:ascii="Times New Roman" w:hAnsi="Times New Roman" w:cs="Times New Roman"/>
          <w:sz w:val="28"/>
          <w:szCs w:val="28"/>
          <w:lang w:val="pt-PT"/>
        </w:rPr>
        <w:t>s, se afirm</w:t>
      </w:r>
      <w:proofErr w:type="spellStart"/>
      <w:r w:rsidRPr="00CB0BF9">
        <w:rPr>
          <w:rStyle w:val="Ninguno"/>
          <w:rFonts w:ascii="Times New Roman" w:hAnsi="Times New Roman" w:cs="Times New Roman"/>
          <w:sz w:val="28"/>
          <w:szCs w:val="28"/>
        </w:rPr>
        <w:t>ó</w:t>
      </w:r>
      <w:proofErr w:type="spellEnd"/>
      <w:r w:rsidRPr="00CB0BF9">
        <w:rPr>
          <w:rStyle w:val="Ninguno"/>
          <w:rFonts w:ascii="Times New Roman" w:hAnsi="Times New Roman" w:cs="Times New Roman"/>
          <w:sz w:val="28"/>
          <w:szCs w:val="28"/>
        </w:rPr>
        <w:t xml:space="preserve">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la Convención Sobre los Derechos de las Personas con Discapacidad demanda apoyos que deben facilitar los Estados para que las personas con discapacidad tomen decisi</w:t>
      </w:r>
      <w:r w:rsidRPr="00CB0BF9">
        <w:rPr>
          <w:rStyle w:val="Ninguno"/>
          <w:rFonts w:ascii="Times New Roman" w:hAnsi="Times New Roman" w:cs="Times New Roman"/>
          <w:sz w:val="28"/>
          <w:szCs w:val="28"/>
        </w:rPr>
        <w:t>ones. Esos apoyos se sustentan en la confianza, se proporcionan con respeto, y nunca en contra de la voluntad de la persona con discapacidad.</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En conclusión, la Defensor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de los Habitantes  considera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18 de la Ley de Investigació</w:t>
      </w:r>
      <w:r w:rsidRPr="00CB0BF9">
        <w:rPr>
          <w:rStyle w:val="Ninguno"/>
          <w:rFonts w:ascii="Times New Roman" w:hAnsi="Times New Roman" w:cs="Times New Roman"/>
          <w:sz w:val="28"/>
          <w:szCs w:val="28"/>
        </w:rPr>
        <w:t xml:space="preserve">n </w:t>
      </w:r>
      <w:proofErr w:type="spellStart"/>
      <w:r w:rsidRPr="00CB0BF9">
        <w:rPr>
          <w:rStyle w:val="Ninguno"/>
          <w:rFonts w:ascii="Times New Roman" w:hAnsi="Times New Roman" w:cs="Times New Roman"/>
          <w:sz w:val="28"/>
          <w:szCs w:val="28"/>
        </w:rPr>
        <w:t>Biom</w:t>
      </w:r>
      <w:proofErr w:type="spellEnd"/>
      <w:r w:rsidRPr="00CB0BF9">
        <w:rPr>
          <w:rStyle w:val="Ninguno"/>
          <w:rFonts w:ascii="Times New Roman" w:hAnsi="Times New Roman" w:cs="Times New Roman"/>
          <w:sz w:val="28"/>
          <w:szCs w:val="28"/>
          <w:lang w:val="fr-FR"/>
        </w:rPr>
        <w:t>é</w:t>
      </w:r>
      <w:proofErr w:type="spellStart"/>
      <w:r w:rsidRPr="00CB0BF9">
        <w:rPr>
          <w:rStyle w:val="Ninguno"/>
          <w:rFonts w:ascii="Times New Roman" w:hAnsi="Times New Roman" w:cs="Times New Roman"/>
          <w:sz w:val="28"/>
          <w:szCs w:val="28"/>
        </w:rPr>
        <w:t>dic</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no debe derogarse, sino reformarse a efecto de que responda a los lineamientos de la Convención Sobre los Derechos de las Personas con Discapacidad y la Ley para la </w:t>
      </w:r>
      <w:proofErr w:type="spellStart"/>
      <w:r w:rsidRPr="00CB0BF9">
        <w:rPr>
          <w:rStyle w:val="Ninguno"/>
          <w:rFonts w:ascii="Times New Roman" w:hAnsi="Times New Roman" w:cs="Times New Roman"/>
          <w:sz w:val="28"/>
          <w:szCs w:val="28"/>
        </w:rPr>
        <w:t>Promoció</w:t>
      </w:r>
      <w:proofErr w:type="spellEnd"/>
      <w:r w:rsidRPr="00CB0BF9">
        <w:rPr>
          <w:rStyle w:val="Ninguno"/>
          <w:rFonts w:ascii="Times New Roman" w:hAnsi="Times New Roman" w:cs="Times New Roman"/>
          <w:sz w:val="28"/>
          <w:szCs w:val="28"/>
          <w:lang w:val="nl-NL"/>
        </w:rPr>
        <w:t>n de Autonom</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w:t>
      </w:r>
      <w:proofErr w:type="spellEnd"/>
      <w:r w:rsidRPr="00CB0BF9">
        <w:rPr>
          <w:rStyle w:val="Ninguno"/>
          <w:rFonts w:ascii="Times New Roman" w:hAnsi="Times New Roman" w:cs="Times New Roman"/>
          <w:sz w:val="28"/>
          <w:szCs w:val="28"/>
        </w:rPr>
        <w:t xml:space="preserve"> Personal de la Personas con Discapacidad. Se agregó </w:t>
      </w:r>
      <w:proofErr w:type="spellStart"/>
      <w:r w:rsidRPr="00CB0BF9">
        <w:rPr>
          <w:rStyle w:val="Ninguno"/>
          <w:rFonts w:ascii="Times New Roman" w:hAnsi="Times New Roman" w:cs="Times New Roman"/>
          <w:sz w:val="28"/>
          <w:szCs w:val="28"/>
        </w:rPr>
        <w:t>tambi</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 xml:space="preserve">n que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d</w:t>
      </w:r>
      <w:r w:rsidRPr="00CB0BF9">
        <w:rPr>
          <w:rStyle w:val="Ninguno"/>
          <w:rFonts w:ascii="Times New Roman" w:hAnsi="Times New Roman" w:cs="Times New Roman"/>
          <w:sz w:val="28"/>
          <w:szCs w:val="28"/>
        </w:rPr>
        <w:t>eseamos expresar con claridad que una derogatoria del numeral 18 de la ley de marras, es un contrasentido y despropósito de los objetivos del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12 de la Sobre los Derechos de las Personas con Discapacidad que establece el principio de la   Toma de D</w:t>
      </w:r>
      <w:r w:rsidRPr="00CB0BF9">
        <w:rPr>
          <w:rStyle w:val="Ninguno"/>
          <w:rFonts w:ascii="Times New Roman" w:hAnsi="Times New Roman" w:cs="Times New Roman"/>
          <w:sz w:val="28"/>
          <w:szCs w:val="28"/>
        </w:rPr>
        <w:t>ecisiones con Apoyo, precisamente como un instituto jur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dico que busca la incorporación progresiva a los beneficios del resto de la sociedad, no su exclusión como lo pretende la mencionada propuesta de reforma.</w:t>
      </w:r>
      <w:r w:rsidRPr="00CB0BF9">
        <w:rPr>
          <w:rStyle w:val="Ninguno"/>
          <w:rFonts w:ascii="Times New Roman" w:hAnsi="Times New Roman" w:cs="Times New Roman"/>
          <w:sz w:val="28"/>
          <w:szCs w:val="28"/>
        </w:rPr>
        <w:t>”</w:t>
      </w:r>
    </w:p>
    <w:p w:rsidR="001848D2" w:rsidRDefault="00E42358" w:rsidP="00CB0BF9">
      <w:pPr>
        <w:pStyle w:val="Ttulo2"/>
        <w:jc w:val="center"/>
        <w:rPr>
          <w:rStyle w:val="Ninguno"/>
          <w:b w:val="0"/>
          <w:bCs w:val="0"/>
          <w:sz w:val="36"/>
          <w:szCs w:val="36"/>
        </w:rPr>
      </w:pPr>
      <w:r>
        <w:rPr>
          <w:rStyle w:val="Ninguno"/>
          <w:sz w:val="36"/>
          <w:szCs w:val="36"/>
        </w:rPr>
        <w:t>Acceso a la justicia para las personas con d</w:t>
      </w:r>
      <w:r>
        <w:rPr>
          <w:rStyle w:val="Ninguno"/>
          <w:sz w:val="36"/>
          <w:szCs w:val="36"/>
        </w:rPr>
        <w:t>iscapacidad: Reforma Ley 7.600</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El 18 de julio de 2019, la Asamblea Legislativa votó en segundo debate el Proyecto de Ley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20840 “Adici</w:t>
      </w:r>
      <w:r w:rsidRPr="00CB0BF9">
        <w:rPr>
          <w:rStyle w:val="Ninguno"/>
          <w:rFonts w:ascii="Times New Roman" w:hAnsi="Times New Roman" w:cs="Times New Roman"/>
          <w:sz w:val="28"/>
          <w:szCs w:val="28"/>
        </w:rPr>
        <w:t>ón de un Cap</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tulo de Acceso a la Justicia a la Ley 7600 de Igualdad de Oportunidades Para Personas con Discapacidad</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lastRenderedPageBreak/>
        <w:t>Es</w:t>
      </w:r>
      <w:r w:rsidRPr="00CB0BF9">
        <w:rPr>
          <w:rStyle w:val="Ninguno"/>
          <w:rFonts w:ascii="Times New Roman" w:hAnsi="Times New Roman" w:cs="Times New Roman"/>
          <w:sz w:val="28"/>
          <w:szCs w:val="28"/>
        </w:rPr>
        <w:t>te nuevo Cap</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tulo de la Ley N</w:t>
      </w:r>
      <w:r w:rsidRPr="00CB0BF9">
        <w:rPr>
          <w:rStyle w:val="Ninguno"/>
          <w:rFonts w:ascii="Times New Roman" w:hAnsi="Times New Roman" w:cs="Times New Roman"/>
          <w:sz w:val="28"/>
          <w:szCs w:val="28"/>
          <w:lang w:val="it-IT"/>
        </w:rPr>
        <w:t xml:space="preserve">° </w:t>
      </w:r>
      <w:r w:rsidRPr="00CB0BF9">
        <w:rPr>
          <w:rStyle w:val="Ninguno"/>
          <w:rFonts w:ascii="Times New Roman" w:hAnsi="Times New Roman" w:cs="Times New Roman"/>
          <w:sz w:val="28"/>
          <w:szCs w:val="28"/>
        </w:rPr>
        <w:t>7600 se</w:t>
      </w:r>
      <w:r w:rsidRPr="00CB0BF9">
        <w:rPr>
          <w:rStyle w:val="Ninguno"/>
          <w:rFonts w:ascii="Times New Roman" w:hAnsi="Times New Roman" w:cs="Times New Roman"/>
          <w:sz w:val="28"/>
          <w:szCs w:val="28"/>
        </w:rPr>
        <w:t>ñala que se deben instaurar actuaciones, procedimientos y requisitos simplificados, proporcionar los ajustes razonables, el uso de los apoyos, productos y servicios requeridos por las personas con discapacidad, para ga</w:t>
      </w:r>
      <w:r w:rsidRPr="00CB0BF9">
        <w:rPr>
          <w:rStyle w:val="Ninguno"/>
          <w:rFonts w:ascii="Times New Roman" w:hAnsi="Times New Roman" w:cs="Times New Roman"/>
          <w:sz w:val="28"/>
          <w:szCs w:val="28"/>
        </w:rPr>
        <w:t>rantizar que tengan su acceso a la justicia. Asimismo, establece que las instituciones p</w:t>
      </w:r>
      <w:r w:rsidRPr="00CB0BF9">
        <w:rPr>
          <w:rStyle w:val="Ninguno"/>
          <w:rFonts w:ascii="Times New Roman" w:hAnsi="Times New Roman" w:cs="Times New Roman"/>
          <w:sz w:val="28"/>
          <w:szCs w:val="28"/>
        </w:rPr>
        <w:t>ú</w:t>
      </w:r>
      <w:r w:rsidRPr="00CB0BF9">
        <w:rPr>
          <w:rStyle w:val="Ninguno"/>
          <w:rFonts w:ascii="Times New Roman" w:hAnsi="Times New Roman" w:cs="Times New Roman"/>
          <w:sz w:val="28"/>
          <w:szCs w:val="28"/>
        </w:rPr>
        <w:t>blicas participantes en garantizar el derecho al acceso a la justicia deben llevar a cabo una serie de acciones como proporcionar información sobre los derechos de las</w:t>
      </w:r>
      <w:r w:rsidRPr="00CB0BF9">
        <w:rPr>
          <w:rStyle w:val="Ninguno"/>
          <w:rFonts w:ascii="Times New Roman" w:hAnsi="Times New Roman" w:cs="Times New Roman"/>
          <w:sz w:val="28"/>
          <w:szCs w:val="28"/>
        </w:rPr>
        <w:t xml:space="preserve"> personas con discapacidad.</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Por otra parte, el Cap</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tulo referido dispone que el sistema judicial debe brindar protección particular a las v</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ctimas con discapacidad que van a rendir testimonio o declaración en los procesos judiciales. Adem</w:t>
      </w:r>
      <w:r w:rsidRPr="00CB0BF9">
        <w:rPr>
          <w:rStyle w:val="Ninguno"/>
          <w:rFonts w:ascii="Times New Roman" w:hAnsi="Times New Roman" w:cs="Times New Roman"/>
          <w:sz w:val="28"/>
          <w:szCs w:val="28"/>
        </w:rPr>
        <w:t>á</w:t>
      </w:r>
      <w:r w:rsidRPr="00CB0BF9">
        <w:rPr>
          <w:rStyle w:val="Ninguno"/>
          <w:rFonts w:ascii="Times New Roman" w:hAnsi="Times New Roman" w:cs="Times New Roman"/>
          <w:sz w:val="28"/>
          <w:szCs w:val="28"/>
        </w:rPr>
        <w:t>s, se debe presta</w:t>
      </w:r>
      <w:r w:rsidRPr="00CB0BF9">
        <w:rPr>
          <w:rStyle w:val="Ninguno"/>
          <w:rFonts w:ascii="Times New Roman" w:hAnsi="Times New Roman" w:cs="Times New Roman"/>
          <w:sz w:val="28"/>
          <w:szCs w:val="28"/>
        </w:rPr>
        <w:t>r especial atención a las personas con discapacidad v</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ctimas de violencia intrafamiliar.</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De igual manera, los juzgados se encontrar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an en la obligación de brindar información y asesor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a las y los usuarios con discapacidad del servicio administración de </w:t>
      </w:r>
      <w:r w:rsidRPr="00CB0BF9">
        <w:rPr>
          <w:rStyle w:val="Ninguno"/>
          <w:rFonts w:ascii="Times New Roman" w:hAnsi="Times New Roman" w:cs="Times New Roman"/>
          <w:sz w:val="28"/>
          <w:szCs w:val="28"/>
        </w:rPr>
        <w:t>justicia. Se brindar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 asistencia t</w:t>
      </w:r>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lang w:val="pt-PT"/>
        </w:rPr>
        <w:t>cnico-jur</w:t>
      </w:r>
      <w:proofErr w:type="spellStart"/>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dico</w:t>
      </w:r>
      <w:proofErr w:type="spellEnd"/>
      <w:r w:rsidRPr="00CB0BF9">
        <w:rPr>
          <w:rStyle w:val="Ninguno"/>
          <w:rFonts w:ascii="Times New Roman" w:hAnsi="Times New Roman" w:cs="Times New Roman"/>
          <w:sz w:val="28"/>
          <w:szCs w:val="28"/>
        </w:rPr>
        <w:t xml:space="preserve"> a personas con discapacidad de escasos recursos que requieran patrocinio letrado. </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 xml:space="preserve">Se reitera la obligación del Poder Judicial de brindar el servicio de </w:t>
      </w:r>
      <w:proofErr w:type="spellStart"/>
      <w:r w:rsidRPr="00CB0BF9">
        <w:rPr>
          <w:rStyle w:val="Ninguno"/>
          <w:rFonts w:ascii="Times New Roman" w:hAnsi="Times New Roman" w:cs="Times New Roman"/>
          <w:sz w:val="28"/>
          <w:szCs w:val="28"/>
        </w:rPr>
        <w:t>int</w:t>
      </w:r>
      <w:proofErr w:type="spellEnd"/>
      <w:r w:rsidRPr="00CB0BF9">
        <w:rPr>
          <w:rStyle w:val="Ninguno"/>
          <w:rFonts w:ascii="Times New Roman" w:hAnsi="Times New Roman" w:cs="Times New Roman"/>
          <w:sz w:val="28"/>
          <w:szCs w:val="28"/>
          <w:lang w:val="fr-FR"/>
        </w:rPr>
        <w:t>é</w:t>
      </w:r>
      <w:proofErr w:type="spellStart"/>
      <w:r w:rsidRPr="00CB0BF9">
        <w:rPr>
          <w:rStyle w:val="Ninguno"/>
          <w:rFonts w:ascii="Times New Roman" w:hAnsi="Times New Roman" w:cs="Times New Roman"/>
          <w:sz w:val="28"/>
          <w:szCs w:val="28"/>
        </w:rPr>
        <w:t>rprete</w:t>
      </w:r>
      <w:proofErr w:type="spellEnd"/>
      <w:r w:rsidRPr="00CB0BF9">
        <w:rPr>
          <w:rStyle w:val="Ninguno"/>
          <w:rFonts w:ascii="Times New Roman" w:hAnsi="Times New Roman" w:cs="Times New Roman"/>
          <w:sz w:val="28"/>
          <w:szCs w:val="28"/>
        </w:rPr>
        <w:t xml:space="preserve"> de lengua de señas a las personas sordas </w:t>
      </w:r>
      <w:r w:rsidRPr="00CB0BF9">
        <w:rPr>
          <w:rStyle w:val="Ninguno"/>
          <w:rFonts w:ascii="Times New Roman" w:hAnsi="Times New Roman" w:cs="Times New Roman"/>
          <w:sz w:val="28"/>
          <w:szCs w:val="28"/>
        </w:rPr>
        <w:t xml:space="preserve">o bien mecanismos de comunicación alternativos. Se reconoce </w:t>
      </w:r>
      <w:proofErr w:type="spellStart"/>
      <w:r w:rsidRPr="00CB0BF9">
        <w:rPr>
          <w:rStyle w:val="Ninguno"/>
          <w:rFonts w:ascii="Times New Roman" w:hAnsi="Times New Roman" w:cs="Times New Roman"/>
          <w:sz w:val="28"/>
          <w:szCs w:val="28"/>
        </w:rPr>
        <w:t>tambi</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 xml:space="preserve">n el derecho de las personas con discapacidad cognitiva a recibir cualquier comunicación en un lenguaje de </w:t>
      </w:r>
      <w:proofErr w:type="spellStart"/>
      <w:r w:rsidRPr="00CB0BF9">
        <w:rPr>
          <w:rStyle w:val="Ninguno"/>
          <w:rFonts w:ascii="Times New Roman" w:hAnsi="Times New Roman" w:cs="Times New Roman"/>
          <w:sz w:val="28"/>
          <w:szCs w:val="28"/>
        </w:rPr>
        <w:t>f</w:t>
      </w:r>
      <w:r w:rsidRPr="00CB0BF9">
        <w:rPr>
          <w:rStyle w:val="Ninguno"/>
          <w:rFonts w:ascii="Times New Roman" w:hAnsi="Times New Roman" w:cs="Times New Roman"/>
          <w:sz w:val="28"/>
          <w:szCs w:val="28"/>
        </w:rPr>
        <w:t>á</w:t>
      </w:r>
      <w:proofErr w:type="spellEnd"/>
      <w:r w:rsidRPr="00CB0BF9">
        <w:rPr>
          <w:rStyle w:val="Ninguno"/>
          <w:rFonts w:ascii="Times New Roman" w:hAnsi="Times New Roman" w:cs="Times New Roman"/>
          <w:sz w:val="28"/>
          <w:szCs w:val="28"/>
          <w:lang w:val="it-IT"/>
        </w:rPr>
        <w:t>cil compresi</w:t>
      </w:r>
      <w:proofErr w:type="spellStart"/>
      <w:r w:rsidRPr="00CB0BF9">
        <w:rPr>
          <w:rStyle w:val="Ninguno"/>
          <w:rFonts w:ascii="Times New Roman" w:hAnsi="Times New Roman" w:cs="Times New Roman"/>
          <w:sz w:val="28"/>
          <w:szCs w:val="28"/>
        </w:rPr>
        <w:t>ó</w:t>
      </w:r>
      <w:r w:rsidRPr="00CB0BF9">
        <w:rPr>
          <w:rStyle w:val="Ninguno"/>
          <w:rFonts w:ascii="Times New Roman" w:hAnsi="Times New Roman" w:cs="Times New Roman"/>
          <w:sz w:val="28"/>
          <w:szCs w:val="28"/>
        </w:rPr>
        <w:t>n</w:t>
      </w:r>
      <w:proofErr w:type="spellEnd"/>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En la edición del mes de mayo del Bolet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n </w:t>
      </w:r>
      <w:proofErr w:type="spellStart"/>
      <w:r w:rsidRPr="00CB0BF9">
        <w:rPr>
          <w:rStyle w:val="Ninguno"/>
          <w:rFonts w:ascii="Times New Roman" w:hAnsi="Times New Roman" w:cs="Times New Roman"/>
          <w:sz w:val="28"/>
          <w:szCs w:val="28"/>
        </w:rPr>
        <w:t>Dis</w:t>
      </w:r>
      <w:proofErr w:type="spellEnd"/>
      <w:r w:rsidRPr="00CB0BF9">
        <w:rPr>
          <w:rStyle w:val="Ninguno"/>
          <w:rFonts w:ascii="Times New Roman" w:hAnsi="Times New Roman" w:cs="Times New Roman"/>
          <w:sz w:val="28"/>
          <w:szCs w:val="28"/>
        </w:rPr>
        <w:t>-Capacidad en Acción</w:t>
      </w:r>
      <w:r w:rsidRPr="00CB0BF9">
        <w:rPr>
          <w:rStyle w:val="Ninguno"/>
          <w:rFonts w:ascii="Times New Roman" w:hAnsi="Times New Roman" w:cs="Times New Roman"/>
          <w:sz w:val="28"/>
          <w:szCs w:val="28"/>
        </w:rPr>
        <w:t xml:space="preserve"> se informó que la Defensor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de los Habitantes, emitió criterio favorable sobre el mencionado Proyecto de Ley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ya que resulta evidente que este proyecto de ley se encuentra en armon</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 con 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culo 13 de la Convención Sobre los Derechos de las Personas </w:t>
      </w:r>
      <w:r w:rsidRPr="00CB0BF9">
        <w:rPr>
          <w:rStyle w:val="Ninguno"/>
          <w:rFonts w:ascii="Times New Roman" w:hAnsi="Times New Roman" w:cs="Times New Roman"/>
          <w:sz w:val="28"/>
          <w:szCs w:val="28"/>
        </w:rPr>
        <w:t xml:space="preserve">con Discapacidad y </w:t>
      </w:r>
      <w:proofErr w:type="spellStart"/>
      <w:r w:rsidRPr="00CB0BF9">
        <w:rPr>
          <w:rStyle w:val="Ninguno"/>
          <w:rFonts w:ascii="Times New Roman" w:hAnsi="Times New Roman" w:cs="Times New Roman"/>
          <w:sz w:val="28"/>
          <w:szCs w:val="28"/>
        </w:rPr>
        <w:t>tambi</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 xml:space="preserve">n es congruente con la obligación general que transversa este tratado internacional establecida en el </w:t>
      </w:r>
      <w:proofErr w:type="spellStart"/>
      <w:r w:rsidRPr="00CB0BF9">
        <w:rPr>
          <w:rStyle w:val="Ninguno"/>
          <w:rFonts w:ascii="Times New Roman" w:hAnsi="Times New Roman" w:cs="Times New Roman"/>
          <w:sz w:val="28"/>
          <w:szCs w:val="28"/>
        </w:rPr>
        <w:t>art</w:t>
      </w:r>
      <w:r w:rsidRPr="00CB0BF9">
        <w:rPr>
          <w:rStyle w:val="Ninguno"/>
          <w:rFonts w:ascii="Times New Roman" w:hAnsi="Times New Roman" w:cs="Times New Roman"/>
          <w:sz w:val="28"/>
          <w:szCs w:val="28"/>
        </w:rPr>
        <w:t>í</w:t>
      </w:r>
      <w:proofErr w:type="spellEnd"/>
      <w:r w:rsidRPr="00CB0BF9">
        <w:rPr>
          <w:rStyle w:val="Ninguno"/>
          <w:rFonts w:ascii="Times New Roman" w:hAnsi="Times New Roman" w:cs="Times New Roman"/>
          <w:sz w:val="28"/>
          <w:szCs w:val="28"/>
          <w:lang w:val="pt-PT"/>
        </w:rPr>
        <w:t xml:space="preserve">culo 7 inciso b) que consiste en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 xml:space="preserve">adoptar todas las medidas legislativas, administrativas y de otra </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ndole que sean pertinent</w:t>
      </w:r>
      <w:r w:rsidRPr="00CB0BF9">
        <w:rPr>
          <w:rStyle w:val="Ninguno"/>
          <w:rFonts w:ascii="Times New Roman" w:hAnsi="Times New Roman" w:cs="Times New Roman"/>
          <w:sz w:val="28"/>
          <w:szCs w:val="28"/>
        </w:rPr>
        <w:t>es para hacer efectivos los derechos reconocidos en la presente Convenció</w:t>
      </w:r>
      <w:r w:rsidRPr="00CB0BF9">
        <w:rPr>
          <w:rStyle w:val="Ninguno"/>
          <w:rFonts w:ascii="Times New Roman" w:hAnsi="Times New Roman" w:cs="Times New Roman"/>
          <w:sz w:val="28"/>
          <w:szCs w:val="28"/>
        </w:rPr>
        <w:t>n”.</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Esta reforma es de mucha importancia habida cuenta que contribuye a la creación de las condiciones apropiadas a fin de que las personas con discapacidad, puedan recurrir a las ins</w:t>
      </w:r>
      <w:r w:rsidRPr="00CB0BF9">
        <w:rPr>
          <w:rStyle w:val="Ninguno"/>
          <w:rFonts w:ascii="Times New Roman" w:hAnsi="Times New Roman" w:cs="Times New Roman"/>
          <w:sz w:val="28"/>
          <w:szCs w:val="28"/>
        </w:rPr>
        <w:t>tancias judiciales para restaurar en el pleno ejercicio de sus derechos cuando estos son violados.</w:t>
      </w:r>
    </w:p>
    <w:p w:rsidR="001848D2" w:rsidRPr="00CB0BF9" w:rsidRDefault="00E42358">
      <w:pPr>
        <w:pStyle w:val="Cuerpo"/>
        <w:jc w:val="both"/>
        <w:rPr>
          <w:rStyle w:val="Ninguno"/>
          <w:rFonts w:ascii="Times New Roman" w:hAnsi="Times New Roman" w:cs="Times New Roman"/>
          <w:sz w:val="28"/>
          <w:szCs w:val="28"/>
        </w:rPr>
      </w:pPr>
      <w:r w:rsidRPr="00CB0BF9">
        <w:rPr>
          <w:rStyle w:val="Ninguno"/>
          <w:rFonts w:ascii="Times New Roman" w:hAnsi="Times New Roman" w:cs="Times New Roman"/>
          <w:sz w:val="28"/>
          <w:szCs w:val="28"/>
        </w:rPr>
        <w:lastRenderedPageBreak/>
        <w:t>S</w:t>
      </w:r>
      <w:r w:rsidRPr="00CB0BF9">
        <w:rPr>
          <w:rStyle w:val="Ninguno"/>
          <w:rFonts w:ascii="Times New Roman" w:hAnsi="Times New Roman" w:cs="Times New Roman"/>
          <w:sz w:val="28"/>
          <w:szCs w:val="28"/>
        </w:rPr>
        <w:t xml:space="preserve">ólo falta que el Señor Presidente firme este Proyecto de Ley a efecto de que se constituya en ley de la </w:t>
      </w:r>
      <w:proofErr w:type="spellStart"/>
      <w:r w:rsidRPr="00CB0BF9">
        <w:rPr>
          <w:rStyle w:val="Ninguno"/>
          <w:rFonts w:ascii="Times New Roman" w:hAnsi="Times New Roman" w:cs="Times New Roman"/>
          <w:sz w:val="28"/>
          <w:szCs w:val="28"/>
        </w:rPr>
        <w:t>Rep</w:t>
      </w:r>
      <w:r w:rsidRPr="00CB0BF9">
        <w:rPr>
          <w:rStyle w:val="Ninguno"/>
          <w:rFonts w:ascii="Times New Roman" w:hAnsi="Times New Roman" w:cs="Times New Roman"/>
          <w:sz w:val="28"/>
          <w:szCs w:val="28"/>
        </w:rPr>
        <w:t>ú</w:t>
      </w:r>
      <w:proofErr w:type="spellEnd"/>
      <w:r w:rsidRPr="00CB0BF9">
        <w:rPr>
          <w:rStyle w:val="Ninguno"/>
          <w:rFonts w:ascii="Times New Roman" w:hAnsi="Times New Roman" w:cs="Times New Roman"/>
          <w:sz w:val="28"/>
          <w:szCs w:val="28"/>
          <w:lang w:val="pt-PT"/>
        </w:rPr>
        <w:t>blica.</w:t>
      </w:r>
    </w:p>
    <w:p w:rsidR="001848D2" w:rsidRDefault="00E42358" w:rsidP="00CB0BF9">
      <w:pPr>
        <w:pStyle w:val="Ttulo2"/>
        <w:jc w:val="center"/>
        <w:rPr>
          <w:rStyle w:val="Ninguno"/>
          <w:b w:val="0"/>
          <w:bCs w:val="0"/>
          <w:sz w:val="36"/>
          <w:szCs w:val="36"/>
        </w:rPr>
      </w:pPr>
      <w:r>
        <w:rPr>
          <w:rStyle w:val="Ninguno"/>
          <w:sz w:val="36"/>
          <w:szCs w:val="36"/>
        </w:rPr>
        <w:t>Aná</w:t>
      </w:r>
      <w:r>
        <w:rPr>
          <w:rStyle w:val="Ninguno"/>
          <w:sz w:val="36"/>
          <w:szCs w:val="36"/>
        </w:rPr>
        <w:t>lisis de la Canció</w:t>
      </w:r>
      <w:r>
        <w:rPr>
          <w:rStyle w:val="Ninguno"/>
          <w:sz w:val="36"/>
          <w:szCs w:val="36"/>
        </w:rPr>
        <w:t>n “S</w:t>
      </w:r>
      <w:r>
        <w:rPr>
          <w:rStyle w:val="Ninguno"/>
          <w:sz w:val="36"/>
          <w:szCs w:val="36"/>
        </w:rPr>
        <w:t>ólo Pienso en Ti</w:t>
      </w:r>
      <w:r>
        <w:rPr>
          <w:rStyle w:val="Ninguno"/>
          <w:sz w:val="36"/>
          <w:szCs w:val="36"/>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La canció</w:t>
      </w:r>
      <w:r w:rsidRPr="00CB0BF9">
        <w:rPr>
          <w:rStyle w:val="Ninguno"/>
          <w:rFonts w:ascii="Times New Roman" w:hAnsi="Times New Roman" w:cs="Times New Roman"/>
          <w:sz w:val="28"/>
          <w:szCs w:val="28"/>
        </w:rPr>
        <w:t>n “S</w:t>
      </w:r>
      <w:r w:rsidRPr="00CB0BF9">
        <w:rPr>
          <w:rStyle w:val="Ninguno"/>
          <w:rFonts w:ascii="Times New Roman" w:hAnsi="Times New Roman" w:cs="Times New Roman"/>
          <w:sz w:val="28"/>
          <w:szCs w:val="28"/>
        </w:rPr>
        <w:t>ólo Pienso en Ti</w:t>
      </w:r>
      <w:r w:rsidRPr="00CB0BF9">
        <w:rPr>
          <w:rStyle w:val="Ninguno"/>
          <w:rFonts w:ascii="Times New Roman" w:hAnsi="Times New Roman" w:cs="Times New Roman"/>
          <w:sz w:val="28"/>
          <w:szCs w:val="28"/>
        </w:rPr>
        <w:t xml:space="preserve">” </w:t>
      </w:r>
      <w:r w:rsidRPr="00CB0BF9">
        <w:rPr>
          <w:rStyle w:val="Ninguno"/>
          <w:rFonts w:ascii="Times New Roman" w:hAnsi="Times New Roman" w:cs="Times New Roman"/>
          <w:sz w:val="28"/>
          <w:szCs w:val="28"/>
        </w:rPr>
        <w:t>compuesta por el cantautor españ</w:t>
      </w:r>
      <w:r w:rsidRPr="00CB0BF9">
        <w:rPr>
          <w:rStyle w:val="Ninguno"/>
          <w:rFonts w:ascii="Times New Roman" w:hAnsi="Times New Roman" w:cs="Times New Roman"/>
          <w:sz w:val="28"/>
          <w:szCs w:val="28"/>
        </w:rPr>
        <w:t>ol Ví</w:t>
      </w:r>
      <w:r w:rsidRPr="00CB0BF9">
        <w:rPr>
          <w:rStyle w:val="Ninguno"/>
          <w:rFonts w:ascii="Times New Roman" w:hAnsi="Times New Roman" w:cs="Times New Roman"/>
          <w:sz w:val="28"/>
          <w:szCs w:val="28"/>
        </w:rPr>
        <w:t xml:space="preserve">ctor Manuel se refiere a una relación de pareja de dos personas con discapacidad mental internadas desde su nacimiento en un albergue. En uno de sus versos se dice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Ella fue a nacer en u</w:t>
      </w:r>
      <w:r w:rsidRPr="00CB0BF9">
        <w:rPr>
          <w:rStyle w:val="Ninguno"/>
          <w:rFonts w:ascii="Times New Roman" w:hAnsi="Times New Roman" w:cs="Times New Roman"/>
          <w:sz w:val="28"/>
          <w:szCs w:val="28"/>
        </w:rPr>
        <w:t>na fr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Sala de hospital. Cuando vio la luz, su frente se quebró </w:t>
      </w:r>
      <w:r w:rsidRPr="00CB0BF9">
        <w:rPr>
          <w:rStyle w:val="Ninguno"/>
          <w:rFonts w:ascii="Times New Roman" w:hAnsi="Times New Roman" w:cs="Times New Roman"/>
          <w:sz w:val="28"/>
          <w:szCs w:val="28"/>
          <w:lang w:val="pt-PT"/>
        </w:rPr>
        <w:t>como cristal</w:t>
      </w:r>
      <w:r w:rsidRPr="00CB0BF9">
        <w:rPr>
          <w:rStyle w:val="Ninguno"/>
          <w:rFonts w:ascii="Times New Roman" w:hAnsi="Times New Roman" w:cs="Times New Roman"/>
          <w:sz w:val="28"/>
          <w:szCs w:val="28"/>
        </w:rPr>
        <w:t>”. Má</w:t>
      </w:r>
      <w:r w:rsidRPr="00CB0BF9">
        <w:rPr>
          <w:rStyle w:val="Ninguno"/>
          <w:rFonts w:ascii="Times New Roman" w:hAnsi="Times New Roman" w:cs="Times New Roman"/>
          <w:sz w:val="28"/>
          <w:szCs w:val="28"/>
        </w:rPr>
        <w:t xml:space="preserve">s adelante se agrega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 xml:space="preserve">El nació de pie le fueron a parir entre algodón su padre pensó que aquello era un castigo del señor. Le busco un lugar para olvidarlo y siendo </w:t>
      </w:r>
      <w:proofErr w:type="spellStart"/>
      <w:r w:rsidRPr="00CB0BF9">
        <w:rPr>
          <w:rStyle w:val="Ninguno"/>
          <w:rFonts w:ascii="Times New Roman" w:hAnsi="Times New Roman" w:cs="Times New Roman"/>
          <w:sz w:val="28"/>
          <w:szCs w:val="28"/>
        </w:rPr>
        <w:t>niñ</w:t>
      </w:r>
      <w:proofErr w:type="spellEnd"/>
      <w:r w:rsidRPr="00CB0BF9">
        <w:rPr>
          <w:rStyle w:val="Ninguno"/>
          <w:rFonts w:ascii="Times New Roman" w:hAnsi="Times New Roman" w:cs="Times New Roman"/>
          <w:sz w:val="28"/>
          <w:szCs w:val="28"/>
          <w:lang w:val="it-IT"/>
        </w:rPr>
        <w:t>o lo i</w:t>
      </w:r>
      <w:r w:rsidRPr="00CB0BF9">
        <w:rPr>
          <w:rStyle w:val="Ninguno"/>
          <w:rFonts w:ascii="Times New Roman" w:hAnsi="Times New Roman" w:cs="Times New Roman"/>
          <w:sz w:val="28"/>
          <w:szCs w:val="28"/>
          <w:lang w:val="it-IT"/>
        </w:rPr>
        <w:t>nterno</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lang w:val="it-IT"/>
        </w:rPr>
        <w:t>La pr</w:t>
      </w:r>
      <w:proofErr w:type="spellStart"/>
      <w:r w:rsidRPr="00CB0BF9">
        <w:rPr>
          <w:rStyle w:val="Ninguno"/>
          <w:rFonts w:ascii="Times New Roman" w:hAnsi="Times New Roman" w:cs="Times New Roman"/>
          <w:sz w:val="28"/>
          <w:szCs w:val="28"/>
        </w:rPr>
        <w:t>á</w:t>
      </w:r>
      <w:r w:rsidRPr="00CB0BF9">
        <w:rPr>
          <w:rStyle w:val="Ninguno"/>
          <w:rFonts w:ascii="Times New Roman" w:hAnsi="Times New Roman" w:cs="Times New Roman"/>
          <w:sz w:val="28"/>
          <w:szCs w:val="28"/>
        </w:rPr>
        <w:t>ctica</w:t>
      </w:r>
      <w:proofErr w:type="spellEnd"/>
      <w:r w:rsidRPr="00CB0BF9">
        <w:rPr>
          <w:rStyle w:val="Ninguno"/>
          <w:rFonts w:ascii="Times New Roman" w:hAnsi="Times New Roman" w:cs="Times New Roman"/>
          <w:sz w:val="28"/>
          <w:szCs w:val="28"/>
        </w:rPr>
        <w:t xml:space="preserve"> muy frecuente en Europa y en menor medida en </w:t>
      </w:r>
      <w:proofErr w:type="spellStart"/>
      <w:r w:rsidRPr="00CB0BF9">
        <w:rPr>
          <w:rStyle w:val="Ninguno"/>
          <w:rFonts w:ascii="Times New Roman" w:hAnsi="Times New Roman" w:cs="Times New Roman"/>
          <w:sz w:val="28"/>
          <w:szCs w:val="28"/>
        </w:rPr>
        <w:t>Latinoam</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 xml:space="preserve">rica, de crear grandes instituciones en las cuales eran ingresadas personas con discapacidad para ser atendidas y permanecer durante tiempo indefinido aisladas de la sociedad o, </w:t>
      </w:r>
      <w:r w:rsidRPr="00CB0BF9">
        <w:rPr>
          <w:rStyle w:val="Ninguno"/>
          <w:rFonts w:ascii="Times New Roman" w:hAnsi="Times New Roman" w:cs="Times New Roman"/>
          <w:sz w:val="28"/>
          <w:szCs w:val="28"/>
        </w:rPr>
        <w:t>como lo han calificado l</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deres del movimiento de personas con discapacidad, segregadas, se constituyó en la peor expresión de discriminación porque se consideraba que una persona no merece vivir en sociedad. En palabras de Michel </w:t>
      </w:r>
      <w:proofErr w:type="spellStart"/>
      <w:r w:rsidRPr="00CB0BF9">
        <w:rPr>
          <w:rStyle w:val="Ninguno"/>
          <w:rFonts w:ascii="Times New Roman" w:hAnsi="Times New Roman" w:cs="Times New Roman"/>
          <w:sz w:val="28"/>
          <w:szCs w:val="28"/>
        </w:rPr>
        <w:t>Foucautl</w:t>
      </w:r>
      <w:proofErr w:type="spellEnd"/>
      <w:r w:rsidRPr="00CB0BF9">
        <w:rPr>
          <w:rStyle w:val="Ninguno"/>
          <w:rFonts w:ascii="Times New Roman" w:hAnsi="Times New Roman" w:cs="Times New Roman"/>
          <w:sz w:val="28"/>
          <w:szCs w:val="28"/>
        </w:rPr>
        <w:t>, Filó</w:t>
      </w:r>
      <w:r w:rsidRPr="00CB0BF9">
        <w:rPr>
          <w:rStyle w:val="Ninguno"/>
          <w:rFonts w:ascii="Times New Roman" w:hAnsi="Times New Roman" w:cs="Times New Roman"/>
          <w:sz w:val="28"/>
          <w:szCs w:val="28"/>
          <w:lang w:val="it-IT"/>
        </w:rPr>
        <w:t>sofo Franc</w:t>
      </w:r>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s</w:t>
      </w:r>
      <w:r w:rsidRPr="00CB0BF9">
        <w:rPr>
          <w:rStyle w:val="Ninguno"/>
          <w:rFonts w:ascii="Times New Roman" w:hAnsi="Times New Roman" w:cs="Times New Roman"/>
          <w:sz w:val="28"/>
          <w:szCs w:val="28"/>
        </w:rPr>
        <w:t xml:space="preserve">, se trataba de </w:t>
      </w:r>
      <w:proofErr w:type="spellStart"/>
      <w:r w:rsidRPr="00CB0BF9">
        <w:rPr>
          <w:rStyle w:val="Ninguno"/>
          <w:rFonts w:ascii="Times New Roman" w:hAnsi="Times New Roman" w:cs="Times New Roman"/>
          <w:sz w:val="28"/>
          <w:szCs w:val="28"/>
        </w:rPr>
        <w:t>exclusió</w:t>
      </w:r>
      <w:proofErr w:type="spellEnd"/>
      <w:r w:rsidRPr="00CB0BF9">
        <w:rPr>
          <w:rStyle w:val="Ninguno"/>
          <w:rFonts w:ascii="Times New Roman" w:hAnsi="Times New Roman" w:cs="Times New Roman"/>
          <w:sz w:val="28"/>
          <w:szCs w:val="28"/>
          <w:lang w:val="fr-FR"/>
        </w:rPr>
        <w:t xml:space="preserve">n, </w:t>
      </w:r>
      <w:proofErr w:type="spellStart"/>
      <w:r w:rsidRPr="00CB0BF9">
        <w:rPr>
          <w:rStyle w:val="Ninguno"/>
          <w:rFonts w:ascii="Times New Roman" w:hAnsi="Times New Roman" w:cs="Times New Roman"/>
          <w:sz w:val="28"/>
          <w:szCs w:val="28"/>
          <w:lang w:val="fr-FR"/>
        </w:rPr>
        <w:t>pr</w:t>
      </w:r>
      <w:r w:rsidRPr="00CB0BF9">
        <w:rPr>
          <w:rStyle w:val="Ninguno"/>
          <w:rFonts w:ascii="Times New Roman" w:hAnsi="Times New Roman" w:cs="Times New Roman"/>
          <w:sz w:val="28"/>
          <w:szCs w:val="28"/>
        </w:rPr>
        <w:t>á</w:t>
      </w:r>
      <w:r w:rsidRPr="00CB0BF9">
        <w:rPr>
          <w:rStyle w:val="Ninguno"/>
          <w:rFonts w:ascii="Times New Roman" w:hAnsi="Times New Roman" w:cs="Times New Roman"/>
          <w:sz w:val="28"/>
          <w:szCs w:val="28"/>
        </w:rPr>
        <w:t>cticas</w:t>
      </w:r>
      <w:proofErr w:type="spellEnd"/>
      <w:r w:rsidRPr="00CB0BF9">
        <w:rPr>
          <w:rStyle w:val="Ninguno"/>
          <w:rFonts w:ascii="Times New Roman" w:hAnsi="Times New Roman" w:cs="Times New Roman"/>
          <w:sz w:val="28"/>
          <w:szCs w:val="28"/>
        </w:rPr>
        <w:t xml:space="preserve"> de rechazo, de marginación como dir</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amos hoy</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 Era una de las formas de ejercer poder sobre quienes son diferentes. (</w:t>
      </w:r>
      <w:proofErr w:type="spellStart"/>
      <w:r w:rsidRPr="00CB0BF9">
        <w:rPr>
          <w:rStyle w:val="Ninguno"/>
          <w:rFonts w:ascii="Times New Roman" w:hAnsi="Times New Roman" w:cs="Times New Roman"/>
          <w:sz w:val="28"/>
          <w:szCs w:val="28"/>
        </w:rPr>
        <w:t>Foucautl</w:t>
      </w:r>
      <w:proofErr w:type="spellEnd"/>
      <w:r w:rsidRPr="00CB0BF9">
        <w:rPr>
          <w:rStyle w:val="Ninguno"/>
          <w:rFonts w:ascii="Times New Roman" w:hAnsi="Times New Roman" w:cs="Times New Roman"/>
          <w:sz w:val="28"/>
          <w:szCs w:val="28"/>
        </w:rPr>
        <w:t xml:space="preserve">, Michel, Los Anormales, Editorial Fondo de Cultura </w:t>
      </w:r>
      <w:proofErr w:type="spellStart"/>
      <w:r w:rsidRPr="00CB0BF9">
        <w:rPr>
          <w:rStyle w:val="Ninguno"/>
          <w:rFonts w:ascii="Times New Roman" w:hAnsi="Times New Roman" w:cs="Times New Roman"/>
          <w:sz w:val="28"/>
          <w:szCs w:val="28"/>
        </w:rPr>
        <w:t>Econó</w:t>
      </w:r>
      <w:proofErr w:type="spellEnd"/>
      <w:r w:rsidRPr="00CB0BF9">
        <w:rPr>
          <w:rStyle w:val="Ninguno"/>
          <w:rFonts w:ascii="Times New Roman" w:hAnsi="Times New Roman" w:cs="Times New Roman"/>
          <w:sz w:val="28"/>
          <w:szCs w:val="28"/>
          <w:lang w:val="it-IT"/>
        </w:rPr>
        <w:t>mica, 4° edici</w:t>
      </w:r>
      <w:proofErr w:type="spellStart"/>
      <w:r w:rsidRPr="00CB0BF9">
        <w:rPr>
          <w:rStyle w:val="Ninguno"/>
          <w:rFonts w:ascii="Times New Roman" w:hAnsi="Times New Roman" w:cs="Times New Roman"/>
          <w:sz w:val="28"/>
          <w:szCs w:val="28"/>
        </w:rPr>
        <w:t>ó</w:t>
      </w:r>
      <w:proofErr w:type="spellEnd"/>
      <w:r w:rsidRPr="00CB0BF9">
        <w:rPr>
          <w:rStyle w:val="Ninguno"/>
          <w:rFonts w:ascii="Times New Roman" w:hAnsi="Times New Roman" w:cs="Times New Roman"/>
          <w:sz w:val="28"/>
          <w:szCs w:val="28"/>
          <w:lang w:val="pt-PT"/>
        </w:rPr>
        <w:t>n, Buenos Aires, 2007,</w:t>
      </w:r>
      <w:r w:rsidRPr="00CB0BF9">
        <w:rPr>
          <w:rStyle w:val="Ninguno"/>
          <w:rFonts w:ascii="Times New Roman" w:hAnsi="Times New Roman" w:cs="Times New Roman"/>
          <w:sz w:val="28"/>
          <w:szCs w:val="28"/>
          <w:lang w:val="pt-PT"/>
        </w:rPr>
        <w:t xml:space="preserve"> p. 51). </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Es justamente por este motivo que el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culo 19 de la Convención Sobre los Derechos de las Personas con Discapacidad, reconoce el derecho de las personas con discapacidad de vivir en la comunidad y tener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la oportunidad de elegir su lugar de res</w:t>
      </w:r>
      <w:r w:rsidRPr="00CB0BF9">
        <w:rPr>
          <w:rStyle w:val="Ninguno"/>
          <w:rFonts w:ascii="Times New Roman" w:hAnsi="Times New Roman" w:cs="Times New Roman"/>
          <w:sz w:val="28"/>
          <w:szCs w:val="28"/>
        </w:rPr>
        <w:t xml:space="preserve">idencia y dónde y con </w:t>
      </w:r>
      <w:proofErr w:type="spellStart"/>
      <w:r w:rsidRPr="00CB0BF9">
        <w:rPr>
          <w:rStyle w:val="Ninguno"/>
          <w:rFonts w:ascii="Times New Roman" w:hAnsi="Times New Roman" w:cs="Times New Roman"/>
          <w:sz w:val="28"/>
          <w:szCs w:val="28"/>
        </w:rPr>
        <w:t>qui</w:t>
      </w:r>
      <w:proofErr w:type="spellEnd"/>
      <w:r w:rsidRPr="00CB0BF9">
        <w:rPr>
          <w:rStyle w:val="Ninguno"/>
          <w:rFonts w:ascii="Times New Roman" w:hAnsi="Times New Roman" w:cs="Times New Roman"/>
          <w:sz w:val="28"/>
          <w:szCs w:val="28"/>
          <w:lang w:val="fr-FR"/>
        </w:rPr>
        <w:t>é</w:t>
      </w:r>
      <w:r w:rsidRPr="00CB0BF9">
        <w:rPr>
          <w:rStyle w:val="Ninguno"/>
          <w:rFonts w:ascii="Times New Roman" w:hAnsi="Times New Roman" w:cs="Times New Roman"/>
          <w:sz w:val="28"/>
          <w:szCs w:val="28"/>
        </w:rPr>
        <w:t>n vivir, en igualdad de condiciones con las dem</w:t>
      </w:r>
      <w:r w:rsidRPr="00CB0BF9">
        <w:rPr>
          <w:rStyle w:val="Ninguno"/>
          <w:rFonts w:ascii="Times New Roman" w:hAnsi="Times New Roman" w:cs="Times New Roman"/>
          <w:sz w:val="28"/>
          <w:szCs w:val="28"/>
        </w:rPr>
        <w:t>á</w:t>
      </w:r>
      <w:r w:rsidRPr="00CB0BF9">
        <w:rPr>
          <w:rStyle w:val="Ninguno"/>
          <w:rFonts w:ascii="Times New Roman" w:hAnsi="Times New Roman" w:cs="Times New Roman"/>
          <w:sz w:val="28"/>
          <w:szCs w:val="28"/>
        </w:rPr>
        <w:t xml:space="preserve">s, y no se vean obligadas a vivir con arreglo a un sistema de vida </w:t>
      </w:r>
      <w:proofErr w:type="spellStart"/>
      <w:r w:rsidRPr="00CB0BF9">
        <w:rPr>
          <w:rStyle w:val="Ninguno"/>
          <w:rFonts w:ascii="Times New Roman" w:hAnsi="Times New Roman" w:cs="Times New Roman"/>
          <w:sz w:val="28"/>
          <w:szCs w:val="28"/>
        </w:rPr>
        <w:t>espec</w:t>
      </w:r>
      <w:r w:rsidRPr="00CB0BF9">
        <w:rPr>
          <w:rStyle w:val="Ninguno"/>
          <w:rFonts w:ascii="Times New Roman" w:hAnsi="Times New Roman" w:cs="Times New Roman"/>
          <w:sz w:val="28"/>
          <w:szCs w:val="28"/>
        </w:rPr>
        <w:t>í</w:t>
      </w:r>
      <w:proofErr w:type="spellEnd"/>
      <w:r w:rsidRPr="00CB0BF9">
        <w:rPr>
          <w:rStyle w:val="Ninguno"/>
          <w:rFonts w:ascii="Times New Roman" w:hAnsi="Times New Roman" w:cs="Times New Roman"/>
          <w:sz w:val="28"/>
          <w:szCs w:val="28"/>
          <w:lang w:val="it-IT"/>
        </w:rPr>
        <w:t>fico</w:t>
      </w:r>
      <w:r w:rsidRPr="00CB0BF9">
        <w:rPr>
          <w:rStyle w:val="Ninguno"/>
          <w:rFonts w:ascii="Times New Roman" w:hAnsi="Times New Roman" w:cs="Times New Roman"/>
          <w:sz w:val="28"/>
          <w:szCs w:val="28"/>
        </w:rPr>
        <w:t>”.</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Para ello, el mencionado art</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culo establece que se debe ofrecer un conjunto de servicios para garantiz</w:t>
      </w:r>
      <w:r w:rsidRPr="00CB0BF9">
        <w:rPr>
          <w:rStyle w:val="Ninguno"/>
          <w:rFonts w:ascii="Times New Roman" w:hAnsi="Times New Roman" w:cs="Times New Roman"/>
          <w:sz w:val="28"/>
          <w:szCs w:val="28"/>
        </w:rPr>
        <w:t>ar que los miembros de este sector de la población ejerzan este derecho, e</w:t>
      </w:r>
      <w:bookmarkStart w:id="0" w:name="_GoBack"/>
      <w:bookmarkEnd w:id="0"/>
      <w:r w:rsidRPr="00CB0BF9">
        <w:rPr>
          <w:rStyle w:val="Ninguno"/>
          <w:rFonts w:ascii="Times New Roman" w:hAnsi="Times New Roman" w:cs="Times New Roman"/>
          <w:sz w:val="28"/>
          <w:szCs w:val="28"/>
        </w:rPr>
        <w:t xml:space="preserve">ntre los cuales se encuentran </w:t>
      </w:r>
      <w:r w:rsidRPr="00CB0BF9">
        <w:rPr>
          <w:rStyle w:val="Ninguno"/>
          <w:rFonts w:ascii="Times New Roman" w:hAnsi="Times New Roman" w:cs="Times New Roman"/>
          <w:sz w:val="28"/>
          <w:szCs w:val="28"/>
        </w:rPr>
        <w:t>“</w:t>
      </w:r>
      <w:r w:rsidRPr="00CB0BF9">
        <w:rPr>
          <w:rStyle w:val="Ninguno"/>
          <w:rFonts w:ascii="Times New Roman" w:hAnsi="Times New Roman" w:cs="Times New Roman"/>
          <w:sz w:val="28"/>
          <w:szCs w:val="28"/>
        </w:rPr>
        <w:t>asistencia domiciliaria, residencial y otros servicios de apoyo de la comunidad, incluida la asistencia personal</w:t>
      </w:r>
      <w:r w:rsidRPr="00CB0BF9">
        <w:rPr>
          <w:rStyle w:val="Ninguno"/>
          <w:rFonts w:ascii="Times New Roman" w:hAnsi="Times New Roman" w:cs="Times New Roman"/>
          <w:sz w:val="28"/>
          <w:szCs w:val="28"/>
        </w:rPr>
        <w:t xml:space="preserve">”. </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t xml:space="preserve">En Costa Rica, la Ley de Promoción </w:t>
      </w:r>
      <w:r w:rsidRPr="00CB0BF9">
        <w:rPr>
          <w:rStyle w:val="Ninguno"/>
          <w:rFonts w:ascii="Times New Roman" w:hAnsi="Times New Roman" w:cs="Times New Roman"/>
          <w:sz w:val="28"/>
          <w:szCs w:val="28"/>
        </w:rPr>
        <w:t>de la Autonom</w:t>
      </w:r>
      <w:r w:rsidRPr="00CB0BF9">
        <w:rPr>
          <w:rStyle w:val="Ninguno"/>
          <w:rFonts w:ascii="Times New Roman" w:hAnsi="Times New Roman" w:cs="Times New Roman"/>
          <w:sz w:val="28"/>
          <w:szCs w:val="28"/>
        </w:rPr>
        <w:t>í</w:t>
      </w:r>
      <w:r w:rsidRPr="00CB0BF9">
        <w:rPr>
          <w:rStyle w:val="Ninguno"/>
          <w:rFonts w:ascii="Times New Roman" w:hAnsi="Times New Roman" w:cs="Times New Roman"/>
          <w:sz w:val="28"/>
          <w:szCs w:val="28"/>
        </w:rPr>
        <w:t xml:space="preserve">a Personal de las Personas con Discapacidad creó </w:t>
      </w:r>
      <w:r w:rsidRPr="00CB0BF9">
        <w:rPr>
          <w:rStyle w:val="Ninguno"/>
          <w:rFonts w:ascii="Times New Roman" w:hAnsi="Times New Roman" w:cs="Times New Roman"/>
          <w:sz w:val="28"/>
          <w:szCs w:val="28"/>
          <w:lang w:val="it-IT"/>
        </w:rPr>
        <w:t xml:space="preserve">la figura del Asistente Personal. </w:t>
      </w:r>
    </w:p>
    <w:p w:rsidR="001848D2" w:rsidRPr="00CB0BF9" w:rsidRDefault="00E42358">
      <w:pPr>
        <w:pStyle w:val="Cuerpo"/>
        <w:jc w:val="both"/>
        <w:rPr>
          <w:rFonts w:ascii="Times New Roman" w:hAnsi="Times New Roman" w:cs="Times New Roman"/>
          <w:sz w:val="28"/>
          <w:szCs w:val="28"/>
        </w:rPr>
      </w:pPr>
      <w:r w:rsidRPr="00CB0BF9">
        <w:rPr>
          <w:rStyle w:val="Ninguno"/>
          <w:rFonts w:ascii="Times New Roman" w:hAnsi="Times New Roman" w:cs="Times New Roman"/>
          <w:sz w:val="28"/>
          <w:szCs w:val="28"/>
        </w:rPr>
        <w:lastRenderedPageBreak/>
        <w:t>En fin, esta canción es un homenaje al amor y a las personas que sufrieron y que sufren de segregación por el sólo hecho de presentar discapacidad.</w:t>
      </w:r>
    </w:p>
    <w:p w:rsidR="001848D2" w:rsidRDefault="001848D2">
      <w:pPr>
        <w:pStyle w:val="Cuerpo"/>
        <w:jc w:val="both"/>
      </w:pPr>
    </w:p>
    <w:p w:rsidR="001848D2" w:rsidRDefault="001848D2">
      <w:pPr>
        <w:pStyle w:val="Cuerpo"/>
        <w:jc w:val="both"/>
      </w:pPr>
    </w:p>
    <w:p w:rsidR="001848D2" w:rsidRDefault="001848D2">
      <w:pPr>
        <w:pStyle w:val="Cuerpo"/>
        <w:jc w:val="both"/>
      </w:pPr>
    </w:p>
    <w:sectPr w:rsidR="001848D2">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58" w:rsidRDefault="00E42358">
      <w:r>
        <w:separator/>
      </w:r>
    </w:p>
  </w:endnote>
  <w:endnote w:type="continuationSeparator" w:id="0">
    <w:p w:rsidR="00E42358" w:rsidRDefault="00E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D2" w:rsidRDefault="001848D2">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58" w:rsidRDefault="00E42358">
      <w:r>
        <w:separator/>
      </w:r>
    </w:p>
  </w:footnote>
  <w:footnote w:type="continuationSeparator" w:id="0">
    <w:p w:rsidR="00E42358" w:rsidRDefault="00E42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D2" w:rsidRDefault="001848D2">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848D2"/>
    <w:rsid w:val="001848D2"/>
    <w:rsid w:val="00CB0BF9"/>
    <w:rsid w:val="00E423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aliases w:val="Boletín Dis-Capacidad en Acción"/>
    <w:basedOn w:val="Normal"/>
    <w:next w:val="Normal"/>
    <w:link w:val="Ttulo1Car"/>
    <w:uiPriority w:val="9"/>
    <w:qFormat/>
    <w:rsid w:val="00CB0BF9"/>
    <w:pPr>
      <w:keepNext/>
      <w:keepLines/>
      <w:spacing w:before="480"/>
      <w:outlineLvl w:val="0"/>
    </w:pPr>
    <w:rPr>
      <w:rFonts w:asciiTheme="majorHAnsi" w:eastAsiaTheme="majorEastAsia" w:hAnsiTheme="majorHAnsi" w:cstheme="majorBidi"/>
      <w:b/>
      <w:bCs/>
      <w:color w:val="2E74B5" w:themeColor="accent1" w:themeShade="BF"/>
      <w:sz w:val="32"/>
      <w:szCs w:val="28"/>
    </w:rPr>
  </w:style>
  <w:style w:type="paragraph" w:styleId="Ttulo2">
    <w:name w:val="heading 2"/>
    <w:aliases w:val="Recurso de amparo"/>
    <w:basedOn w:val="Normal"/>
    <w:next w:val="Normal"/>
    <w:link w:val="Ttulo2Car"/>
    <w:uiPriority w:val="9"/>
    <w:unhideWhenUsed/>
    <w:qFormat/>
    <w:rsid w:val="00CB0BF9"/>
    <w:pPr>
      <w:keepNext/>
      <w:keepLines/>
      <w:spacing w:before="200"/>
      <w:outlineLvl w:val="1"/>
    </w:pPr>
    <w:rPr>
      <w:rFonts w:asciiTheme="majorHAnsi" w:eastAsiaTheme="majorEastAsia" w:hAnsiTheme="majorHAnsi" w:cstheme="majorBidi"/>
      <w:b/>
      <w:bCs/>
      <w:color w:val="5B9BD5" w:themeColor="accent1"/>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Tahoma" w:hAnsi="Tahoma" w:cs="Arial Unicode MS"/>
      <w:color w:val="000000"/>
      <w:sz w:val="22"/>
      <w:szCs w:val="22"/>
      <w:u w:color="000000"/>
      <w14:textOutline w14:w="0" w14:cap="flat" w14:cmpd="sng" w14:algn="ctr">
        <w14:noFill/>
        <w14:prstDash w14:val="solid"/>
        <w14:bevel/>
      </w14:textOutline>
    </w:rPr>
  </w:style>
  <w:style w:type="character" w:customStyle="1" w:styleId="Ninguno">
    <w:name w:val="Ninguno"/>
    <w:rPr>
      <w:lang w:val="es-ES_tradnl"/>
    </w:rPr>
  </w:style>
  <w:style w:type="character" w:customStyle="1" w:styleId="Ttulo1Car">
    <w:name w:val="Título 1 Car"/>
    <w:aliases w:val="Boletín Dis-Capacidad en Acción Car"/>
    <w:basedOn w:val="Fuentedeprrafopredeter"/>
    <w:link w:val="Ttulo1"/>
    <w:uiPriority w:val="9"/>
    <w:rsid w:val="00CB0BF9"/>
    <w:rPr>
      <w:rFonts w:asciiTheme="majorHAnsi" w:eastAsiaTheme="majorEastAsia" w:hAnsiTheme="majorHAnsi" w:cstheme="majorBidi"/>
      <w:b/>
      <w:bCs/>
      <w:color w:val="2E74B5" w:themeColor="accent1" w:themeShade="BF"/>
      <w:sz w:val="32"/>
      <w:szCs w:val="28"/>
      <w:lang w:val="en-US" w:eastAsia="en-US"/>
    </w:rPr>
  </w:style>
  <w:style w:type="character" w:customStyle="1" w:styleId="Ttulo2Car">
    <w:name w:val="Título 2 Car"/>
    <w:aliases w:val="Recurso de amparo Car"/>
    <w:basedOn w:val="Fuentedeprrafopredeter"/>
    <w:link w:val="Ttulo2"/>
    <w:uiPriority w:val="9"/>
    <w:rsid w:val="00CB0BF9"/>
    <w:rPr>
      <w:rFonts w:asciiTheme="majorHAnsi" w:eastAsiaTheme="majorEastAsia" w:hAnsiTheme="majorHAnsi" w:cstheme="majorBidi"/>
      <w:b/>
      <w:bCs/>
      <w:color w:val="5B9BD5" w:themeColor="accent1"/>
      <w:sz w:val="32"/>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aliases w:val="Boletín Dis-Capacidad en Acción"/>
    <w:basedOn w:val="Normal"/>
    <w:next w:val="Normal"/>
    <w:link w:val="Ttulo1Car"/>
    <w:uiPriority w:val="9"/>
    <w:qFormat/>
    <w:rsid w:val="00CB0BF9"/>
    <w:pPr>
      <w:keepNext/>
      <w:keepLines/>
      <w:spacing w:before="480"/>
      <w:outlineLvl w:val="0"/>
    </w:pPr>
    <w:rPr>
      <w:rFonts w:asciiTheme="majorHAnsi" w:eastAsiaTheme="majorEastAsia" w:hAnsiTheme="majorHAnsi" w:cstheme="majorBidi"/>
      <w:b/>
      <w:bCs/>
      <w:color w:val="2E74B5" w:themeColor="accent1" w:themeShade="BF"/>
      <w:sz w:val="32"/>
      <w:szCs w:val="28"/>
    </w:rPr>
  </w:style>
  <w:style w:type="paragraph" w:styleId="Ttulo2">
    <w:name w:val="heading 2"/>
    <w:aliases w:val="Recurso de amparo"/>
    <w:basedOn w:val="Normal"/>
    <w:next w:val="Normal"/>
    <w:link w:val="Ttulo2Car"/>
    <w:uiPriority w:val="9"/>
    <w:unhideWhenUsed/>
    <w:qFormat/>
    <w:rsid w:val="00CB0BF9"/>
    <w:pPr>
      <w:keepNext/>
      <w:keepLines/>
      <w:spacing w:before="200"/>
      <w:outlineLvl w:val="1"/>
    </w:pPr>
    <w:rPr>
      <w:rFonts w:asciiTheme="majorHAnsi" w:eastAsiaTheme="majorEastAsia" w:hAnsiTheme="majorHAnsi" w:cstheme="majorBidi"/>
      <w:b/>
      <w:bCs/>
      <w:color w:val="5B9BD5" w:themeColor="accent1"/>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Tahoma" w:hAnsi="Tahoma" w:cs="Arial Unicode MS"/>
      <w:color w:val="000000"/>
      <w:sz w:val="22"/>
      <w:szCs w:val="22"/>
      <w:u w:color="000000"/>
      <w14:textOutline w14:w="0" w14:cap="flat" w14:cmpd="sng" w14:algn="ctr">
        <w14:noFill/>
        <w14:prstDash w14:val="solid"/>
        <w14:bevel/>
      </w14:textOutline>
    </w:rPr>
  </w:style>
  <w:style w:type="character" w:customStyle="1" w:styleId="Ninguno">
    <w:name w:val="Ninguno"/>
    <w:rPr>
      <w:lang w:val="es-ES_tradnl"/>
    </w:rPr>
  </w:style>
  <w:style w:type="character" w:customStyle="1" w:styleId="Ttulo1Car">
    <w:name w:val="Título 1 Car"/>
    <w:aliases w:val="Boletín Dis-Capacidad en Acción Car"/>
    <w:basedOn w:val="Fuentedeprrafopredeter"/>
    <w:link w:val="Ttulo1"/>
    <w:uiPriority w:val="9"/>
    <w:rsid w:val="00CB0BF9"/>
    <w:rPr>
      <w:rFonts w:asciiTheme="majorHAnsi" w:eastAsiaTheme="majorEastAsia" w:hAnsiTheme="majorHAnsi" w:cstheme="majorBidi"/>
      <w:b/>
      <w:bCs/>
      <w:color w:val="2E74B5" w:themeColor="accent1" w:themeShade="BF"/>
      <w:sz w:val="32"/>
      <w:szCs w:val="28"/>
      <w:lang w:val="en-US" w:eastAsia="en-US"/>
    </w:rPr>
  </w:style>
  <w:style w:type="character" w:customStyle="1" w:styleId="Ttulo2Car">
    <w:name w:val="Título 2 Car"/>
    <w:aliases w:val="Recurso de amparo Car"/>
    <w:basedOn w:val="Fuentedeprrafopredeter"/>
    <w:link w:val="Ttulo2"/>
    <w:uiPriority w:val="9"/>
    <w:rsid w:val="00CB0BF9"/>
    <w:rPr>
      <w:rFonts w:asciiTheme="majorHAnsi" w:eastAsiaTheme="majorEastAsia" w:hAnsiTheme="majorHAnsi" w:cstheme="majorBidi"/>
      <w:b/>
      <w:bCs/>
      <w:color w:val="5B9BD5" w:themeColor="accent1"/>
      <w:sz w:val="32"/>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AhmedTabash</cp:lastModifiedBy>
  <cp:revision>2</cp:revision>
  <dcterms:created xsi:type="dcterms:W3CDTF">2019-08-19T15:14:00Z</dcterms:created>
  <dcterms:modified xsi:type="dcterms:W3CDTF">2019-08-19T15:19:00Z</dcterms:modified>
</cp:coreProperties>
</file>