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97C" w:rsidRPr="0049597C" w:rsidRDefault="0049597C" w:rsidP="00290381">
      <w:pPr>
        <w:jc w:val="center"/>
        <w:rPr>
          <w:rFonts w:ascii="Arial" w:hAnsi="Arial" w:cs="Arial"/>
          <w:b/>
          <w:sz w:val="24"/>
          <w:szCs w:val="24"/>
        </w:rPr>
      </w:pPr>
    </w:p>
    <w:p w:rsidR="007351A2" w:rsidRPr="0049597C" w:rsidRDefault="00290381" w:rsidP="00290381">
      <w:pPr>
        <w:jc w:val="center"/>
        <w:rPr>
          <w:rFonts w:ascii="Arial" w:hAnsi="Arial" w:cs="Arial"/>
          <w:b/>
          <w:sz w:val="24"/>
          <w:szCs w:val="24"/>
        </w:rPr>
      </w:pPr>
      <w:r w:rsidRPr="0049597C">
        <w:rPr>
          <w:rFonts w:ascii="Arial" w:hAnsi="Arial" w:cs="Arial"/>
          <w:b/>
          <w:sz w:val="24"/>
          <w:szCs w:val="24"/>
        </w:rPr>
        <w:t xml:space="preserve">EVALUACION DE CUMPLIMIENTO </w:t>
      </w:r>
      <w:r w:rsidR="00171392" w:rsidRPr="0049597C">
        <w:rPr>
          <w:rFonts w:ascii="Arial" w:hAnsi="Arial" w:cs="Arial"/>
          <w:b/>
          <w:sz w:val="24"/>
          <w:szCs w:val="24"/>
        </w:rPr>
        <w:t xml:space="preserve"> DEL </w:t>
      </w:r>
      <w:r w:rsidR="00A36547">
        <w:rPr>
          <w:rFonts w:ascii="Arial" w:hAnsi="Arial" w:cs="Arial"/>
          <w:b/>
          <w:sz w:val="24"/>
          <w:szCs w:val="24"/>
        </w:rPr>
        <w:t>PROGRAMA DE ADQUISICIONES 2016</w:t>
      </w:r>
    </w:p>
    <w:p w:rsidR="0049597C" w:rsidRPr="0049597C" w:rsidRDefault="0049597C" w:rsidP="00290381">
      <w:pPr>
        <w:jc w:val="center"/>
        <w:rPr>
          <w:rFonts w:ascii="Arial" w:hAnsi="Arial" w:cs="Arial"/>
          <w:b/>
          <w:sz w:val="24"/>
          <w:szCs w:val="24"/>
        </w:rPr>
      </w:pPr>
    </w:p>
    <w:p w:rsidR="00171392" w:rsidRPr="0049597C" w:rsidRDefault="00171392" w:rsidP="0049597C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171392">
      <w:pPr>
        <w:jc w:val="both"/>
        <w:rPr>
          <w:rFonts w:ascii="Arial" w:hAnsi="Arial" w:cs="Arial"/>
          <w:sz w:val="24"/>
          <w:szCs w:val="24"/>
        </w:rPr>
      </w:pPr>
    </w:p>
    <w:p w:rsidR="00171392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>La Defensoría de los Habitantes de la Republica, atendiendo lo establecido en el artículo 6 de la Ley de Contratación Administrativa y el artículo 7 de su respectivo Reglamento, elaboró y publicó en el sitio web,  el Programa de Adquisiciones 201</w:t>
      </w:r>
      <w:r w:rsidR="003A195C">
        <w:rPr>
          <w:rFonts w:ascii="Arial" w:hAnsi="Arial" w:cs="Arial"/>
          <w:sz w:val="24"/>
          <w:szCs w:val="24"/>
        </w:rPr>
        <w:t xml:space="preserve">6 así como en la plataforma de compras públicas </w:t>
      </w:r>
      <w:proofErr w:type="spellStart"/>
      <w:r w:rsidR="003A195C">
        <w:rPr>
          <w:rFonts w:ascii="Arial" w:hAnsi="Arial" w:cs="Arial"/>
          <w:sz w:val="24"/>
          <w:szCs w:val="24"/>
        </w:rPr>
        <w:t>Merlink</w:t>
      </w:r>
      <w:proofErr w:type="spellEnd"/>
      <w:r w:rsidRPr="0049597C">
        <w:rPr>
          <w:rFonts w:ascii="Arial" w:hAnsi="Arial" w:cs="Arial"/>
          <w:sz w:val="24"/>
          <w:szCs w:val="24"/>
        </w:rPr>
        <w:t>.</w:t>
      </w: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p w:rsidR="00901524" w:rsidRDefault="00931F83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vez finalizado el año 2016</w:t>
      </w:r>
      <w:r w:rsidR="00901524" w:rsidRPr="0049597C">
        <w:rPr>
          <w:rFonts w:ascii="Arial" w:hAnsi="Arial" w:cs="Arial"/>
          <w:sz w:val="24"/>
          <w:szCs w:val="24"/>
        </w:rPr>
        <w:t xml:space="preserve"> se procede a realizar una evaluación </w:t>
      </w:r>
      <w:r w:rsidR="008C4EBF" w:rsidRPr="0049597C">
        <w:rPr>
          <w:rFonts w:ascii="Arial" w:hAnsi="Arial" w:cs="Arial"/>
          <w:sz w:val="24"/>
          <w:szCs w:val="24"/>
        </w:rPr>
        <w:t xml:space="preserve">del Programa de Adquisiciones </w:t>
      </w:r>
      <w:r w:rsidR="00901524" w:rsidRPr="0049597C">
        <w:rPr>
          <w:rFonts w:ascii="Arial" w:hAnsi="Arial" w:cs="Arial"/>
          <w:sz w:val="24"/>
          <w:szCs w:val="24"/>
        </w:rPr>
        <w:t xml:space="preserve">con el fin de </w:t>
      </w:r>
      <w:r w:rsidR="00CB2DBB">
        <w:rPr>
          <w:rFonts w:ascii="Arial" w:hAnsi="Arial" w:cs="Arial"/>
          <w:sz w:val="24"/>
          <w:szCs w:val="24"/>
        </w:rPr>
        <w:t>verificar el cumplimiento de</w:t>
      </w:r>
      <w:r w:rsidR="00901524" w:rsidRPr="0049597C">
        <w:rPr>
          <w:rFonts w:ascii="Arial" w:hAnsi="Arial" w:cs="Arial"/>
          <w:sz w:val="24"/>
          <w:szCs w:val="24"/>
        </w:rPr>
        <w:t xml:space="preserve"> las metas establecidas por las diferentes Unidades Solicitantes </w:t>
      </w:r>
      <w:r w:rsidR="00E51063">
        <w:rPr>
          <w:rFonts w:ascii="Arial" w:hAnsi="Arial" w:cs="Arial"/>
          <w:sz w:val="24"/>
          <w:szCs w:val="24"/>
        </w:rPr>
        <w:t>así como el</w:t>
      </w:r>
      <w:r w:rsidR="00901524" w:rsidRPr="0049597C">
        <w:rPr>
          <w:rFonts w:ascii="Arial" w:hAnsi="Arial" w:cs="Arial"/>
          <w:sz w:val="24"/>
          <w:szCs w:val="24"/>
        </w:rPr>
        <w:t xml:space="preserve"> cumplimiento de los plazos establecidos</w:t>
      </w:r>
      <w:r w:rsidR="00076D8F">
        <w:rPr>
          <w:rFonts w:ascii="Arial" w:hAnsi="Arial" w:cs="Arial"/>
          <w:sz w:val="24"/>
          <w:szCs w:val="24"/>
        </w:rPr>
        <w:t xml:space="preserve"> para alcanzar los objetivos.</w:t>
      </w:r>
    </w:p>
    <w:p w:rsidR="00076D8F" w:rsidRPr="0049597C" w:rsidRDefault="00076D8F" w:rsidP="00901524">
      <w:pPr>
        <w:jc w:val="both"/>
        <w:rPr>
          <w:rFonts w:ascii="Arial" w:hAnsi="Arial" w:cs="Arial"/>
          <w:sz w:val="24"/>
          <w:szCs w:val="24"/>
        </w:rPr>
      </w:pPr>
    </w:p>
    <w:p w:rsidR="009E1ED1" w:rsidRDefault="00BB4F1A" w:rsidP="00901524">
      <w:pPr>
        <w:jc w:val="both"/>
        <w:rPr>
          <w:rFonts w:ascii="Arial" w:hAnsi="Arial" w:cs="Arial"/>
          <w:sz w:val="24"/>
          <w:szCs w:val="24"/>
        </w:rPr>
      </w:pPr>
      <w:r w:rsidRPr="0049597C">
        <w:rPr>
          <w:rFonts w:ascii="Arial" w:hAnsi="Arial" w:cs="Arial"/>
          <w:sz w:val="24"/>
          <w:szCs w:val="24"/>
        </w:rPr>
        <w:t xml:space="preserve">Los diferentes procesos de compras se realizaron por medio del Sistema </w:t>
      </w:r>
      <w:r w:rsidR="00272294">
        <w:rPr>
          <w:rFonts w:ascii="Arial" w:hAnsi="Arial" w:cs="Arial"/>
          <w:sz w:val="24"/>
          <w:szCs w:val="24"/>
        </w:rPr>
        <w:t xml:space="preserve">de Compras Electrónicas </w:t>
      </w:r>
      <w:proofErr w:type="spellStart"/>
      <w:r w:rsidR="00272294">
        <w:rPr>
          <w:rFonts w:ascii="Arial" w:hAnsi="Arial" w:cs="Arial"/>
          <w:sz w:val="24"/>
          <w:szCs w:val="24"/>
        </w:rPr>
        <w:t>Merlink</w:t>
      </w:r>
      <w:proofErr w:type="spellEnd"/>
      <w:r w:rsidR="00DA3874">
        <w:rPr>
          <w:rFonts w:ascii="Arial" w:hAnsi="Arial" w:cs="Arial"/>
          <w:sz w:val="24"/>
          <w:szCs w:val="24"/>
        </w:rPr>
        <w:t xml:space="preserve">. </w:t>
      </w:r>
      <w:r w:rsidR="00BD7274">
        <w:rPr>
          <w:rFonts w:ascii="Arial" w:hAnsi="Arial" w:cs="Arial"/>
          <w:sz w:val="24"/>
          <w:szCs w:val="24"/>
        </w:rPr>
        <w:t xml:space="preserve">A continuación se </w:t>
      </w:r>
      <w:r w:rsidR="009E1ED1">
        <w:rPr>
          <w:rFonts w:ascii="Arial" w:hAnsi="Arial" w:cs="Arial"/>
          <w:sz w:val="24"/>
          <w:szCs w:val="24"/>
        </w:rPr>
        <w:t>detalla la cantidad de</w:t>
      </w:r>
      <w:r w:rsidR="00BD7274">
        <w:rPr>
          <w:rFonts w:ascii="Arial" w:hAnsi="Arial" w:cs="Arial"/>
          <w:sz w:val="24"/>
          <w:szCs w:val="24"/>
        </w:rPr>
        <w:t xml:space="preserve"> procedimientos</w:t>
      </w:r>
      <w:r w:rsidR="009E1ED1">
        <w:rPr>
          <w:rFonts w:ascii="Arial" w:hAnsi="Arial" w:cs="Arial"/>
          <w:sz w:val="24"/>
          <w:szCs w:val="24"/>
        </w:rPr>
        <w:t xml:space="preserve"> tramitados</w:t>
      </w:r>
      <w:r w:rsidR="00BD7274">
        <w:rPr>
          <w:rFonts w:ascii="Arial" w:hAnsi="Arial" w:cs="Arial"/>
          <w:sz w:val="24"/>
          <w:szCs w:val="24"/>
        </w:rPr>
        <w:t xml:space="preserve"> por </w:t>
      </w:r>
      <w:r w:rsidR="00DA3874">
        <w:rPr>
          <w:rFonts w:ascii="Arial" w:hAnsi="Arial" w:cs="Arial"/>
          <w:sz w:val="24"/>
          <w:szCs w:val="24"/>
        </w:rPr>
        <w:t>este medio.</w:t>
      </w:r>
    </w:p>
    <w:p w:rsidR="00F30478" w:rsidRDefault="00F30478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3969"/>
        <w:gridCol w:w="1418"/>
      </w:tblGrid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Contrataciones Directas</w:t>
            </w:r>
          </w:p>
        </w:tc>
        <w:tc>
          <w:tcPr>
            <w:tcW w:w="1418" w:type="dxa"/>
          </w:tcPr>
          <w:p w:rsidR="009E1ED1" w:rsidRDefault="009E1ED1" w:rsidP="000F4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0F4D07">
              <w:rPr>
                <w:rFonts w:ascii="Arial" w:hAnsi="Arial" w:cs="Arial"/>
                <w:sz w:val="24"/>
                <w:szCs w:val="24"/>
              </w:rPr>
              <w:t>25</w:t>
            </w:r>
          </w:p>
        </w:tc>
      </w:tr>
      <w:tr w:rsidR="009E1ED1" w:rsidTr="00413D81">
        <w:trPr>
          <w:trHeight w:val="270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Públicas Nacionales</w:t>
            </w:r>
          </w:p>
        </w:tc>
        <w:tc>
          <w:tcPr>
            <w:tcW w:w="1418" w:type="dxa"/>
          </w:tcPr>
          <w:p w:rsidR="009E1ED1" w:rsidRDefault="009E1ED1" w:rsidP="000F4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0F4D0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9E1ED1" w:rsidTr="00413D81">
        <w:trPr>
          <w:trHeight w:val="511"/>
        </w:trPr>
        <w:tc>
          <w:tcPr>
            <w:tcW w:w="3969" w:type="dxa"/>
          </w:tcPr>
          <w:p w:rsidR="009E1ED1" w:rsidRDefault="009E1ED1" w:rsidP="0090152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Licitaciones Abreviadas</w:t>
            </w:r>
          </w:p>
        </w:tc>
        <w:tc>
          <w:tcPr>
            <w:tcW w:w="1418" w:type="dxa"/>
          </w:tcPr>
          <w:p w:rsidR="009E1ED1" w:rsidRDefault="009E1ED1" w:rsidP="000F4D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F4D07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</w:tbl>
    <w:p w:rsidR="00874AB8" w:rsidRDefault="00874AB8" w:rsidP="00901524">
      <w:pPr>
        <w:jc w:val="both"/>
        <w:rPr>
          <w:rFonts w:ascii="Arial" w:hAnsi="Arial" w:cs="Arial"/>
          <w:sz w:val="24"/>
          <w:szCs w:val="24"/>
        </w:rPr>
      </w:pPr>
    </w:p>
    <w:p w:rsidR="00630C25" w:rsidRPr="00874AB8" w:rsidRDefault="00874AB8" w:rsidP="00901524">
      <w:pPr>
        <w:jc w:val="both"/>
        <w:rPr>
          <w:rFonts w:ascii="Arial" w:hAnsi="Arial" w:cs="Arial"/>
          <w:i/>
          <w:sz w:val="20"/>
          <w:szCs w:val="20"/>
        </w:rPr>
      </w:pPr>
      <w:r w:rsidRPr="00874AB8">
        <w:rPr>
          <w:rFonts w:ascii="Arial" w:hAnsi="Arial" w:cs="Arial"/>
          <w:i/>
          <w:sz w:val="20"/>
          <w:szCs w:val="20"/>
        </w:rPr>
        <w:t xml:space="preserve">Fuente: Sistema de Compras Electrónicas </w:t>
      </w:r>
      <w:proofErr w:type="spellStart"/>
      <w:r w:rsidRPr="00874AB8">
        <w:rPr>
          <w:rFonts w:ascii="Arial" w:hAnsi="Arial" w:cs="Arial"/>
          <w:i/>
          <w:sz w:val="20"/>
          <w:szCs w:val="20"/>
        </w:rPr>
        <w:t>Merlink</w:t>
      </w:r>
      <w:proofErr w:type="spellEnd"/>
    </w:p>
    <w:p w:rsidR="00630C25" w:rsidRDefault="00630C25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C5F1E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Asimismo s</w:t>
      </w:r>
      <w:r w:rsidR="006D4548">
        <w:rPr>
          <w:rFonts w:ascii="Arial" w:hAnsi="Arial" w:cs="Arial"/>
          <w:sz w:val="24"/>
          <w:szCs w:val="24"/>
        </w:rPr>
        <w:t xml:space="preserve">e tramitaron </w:t>
      </w:r>
      <w:r w:rsidR="00931F83">
        <w:rPr>
          <w:rFonts w:ascii="Arial" w:hAnsi="Arial" w:cs="Arial"/>
          <w:sz w:val="24"/>
          <w:szCs w:val="24"/>
        </w:rPr>
        <w:t>65</w:t>
      </w:r>
      <w:r w:rsidR="006D4548">
        <w:rPr>
          <w:rFonts w:ascii="Arial" w:hAnsi="Arial" w:cs="Arial"/>
          <w:sz w:val="24"/>
          <w:szCs w:val="24"/>
        </w:rPr>
        <w:t xml:space="preserve"> contrataciones</w:t>
      </w:r>
      <w:r w:rsidR="003012A5">
        <w:rPr>
          <w:rFonts w:ascii="Arial" w:hAnsi="Arial" w:cs="Arial"/>
          <w:sz w:val="24"/>
          <w:szCs w:val="24"/>
        </w:rPr>
        <w:t xml:space="preserve"> directas </w:t>
      </w:r>
      <w:r w:rsidR="006D4548">
        <w:rPr>
          <w:rFonts w:ascii="Arial" w:hAnsi="Arial" w:cs="Arial"/>
          <w:sz w:val="24"/>
          <w:szCs w:val="24"/>
        </w:rPr>
        <w:t xml:space="preserve"> </w:t>
      </w:r>
      <w:r w:rsidR="003012A5">
        <w:rPr>
          <w:rFonts w:ascii="Arial" w:hAnsi="Arial" w:cs="Arial"/>
          <w:sz w:val="24"/>
          <w:szCs w:val="24"/>
        </w:rPr>
        <w:t xml:space="preserve">en forma tradicional (papel) con base en los artículos </w:t>
      </w:r>
      <w:r w:rsidR="006D4548">
        <w:rPr>
          <w:rFonts w:ascii="Arial" w:hAnsi="Arial" w:cs="Arial"/>
          <w:sz w:val="24"/>
          <w:szCs w:val="24"/>
        </w:rPr>
        <w:t>No.130</w:t>
      </w:r>
      <w:r w:rsidR="003012A5">
        <w:rPr>
          <w:rFonts w:ascii="Arial" w:hAnsi="Arial" w:cs="Arial"/>
          <w:sz w:val="24"/>
          <w:szCs w:val="24"/>
        </w:rPr>
        <w:t xml:space="preserve">, </w:t>
      </w:r>
      <w:r w:rsidR="006D4548">
        <w:rPr>
          <w:rFonts w:ascii="Arial" w:hAnsi="Arial" w:cs="Arial"/>
          <w:sz w:val="24"/>
          <w:szCs w:val="24"/>
        </w:rPr>
        <w:t>No.131 incisos a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>, c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>, e</w:t>
      </w:r>
      <w:r w:rsidR="003012A5">
        <w:rPr>
          <w:rFonts w:ascii="Arial" w:hAnsi="Arial" w:cs="Arial"/>
          <w:sz w:val="24"/>
          <w:szCs w:val="24"/>
        </w:rPr>
        <w:t>)</w:t>
      </w:r>
      <w:r w:rsidR="006D4548">
        <w:rPr>
          <w:rFonts w:ascii="Arial" w:hAnsi="Arial" w:cs="Arial"/>
          <w:sz w:val="24"/>
          <w:szCs w:val="24"/>
        </w:rPr>
        <w:t xml:space="preserve"> y </w:t>
      </w:r>
      <w:r w:rsidR="003012A5">
        <w:rPr>
          <w:rFonts w:ascii="Arial" w:hAnsi="Arial" w:cs="Arial"/>
          <w:sz w:val="24"/>
          <w:szCs w:val="24"/>
        </w:rPr>
        <w:t>g) y el No.136</w:t>
      </w:r>
      <w:r w:rsidR="006D4548">
        <w:rPr>
          <w:rFonts w:ascii="Arial" w:hAnsi="Arial" w:cs="Arial"/>
          <w:sz w:val="24"/>
          <w:szCs w:val="24"/>
        </w:rPr>
        <w:t xml:space="preserve"> del Reglamento de la Ley de Contratación Administrativa</w:t>
      </w:r>
      <w:r w:rsidR="00F50DFF">
        <w:rPr>
          <w:rFonts w:ascii="Arial" w:hAnsi="Arial" w:cs="Arial"/>
          <w:sz w:val="24"/>
          <w:szCs w:val="24"/>
        </w:rPr>
        <w:t>. Se tramitaron procedimientos de</w:t>
      </w:r>
      <w:r w:rsidR="006D4548">
        <w:rPr>
          <w:rFonts w:ascii="Arial" w:hAnsi="Arial" w:cs="Arial"/>
          <w:sz w:val="24"/>
          <w:szCs w:val="24"/>
        </w:rPr>
        <w:t xml:space="preserve"> contratación de servicios tales como compra de combustible a </w:t>
      </w:r>
      <w:proofErr w:type="spellStart"/>
      <w:r w:rsidR="007B511B">
        <w:rPr>
          <w:rFonts w:ascii="Arial" w:hAnsi="Arial" w:cs="Arial"/>
          <w:sz w:val="24"/>
          <w:szCs w:val="24"/>
        </w:rPr>
        <w:t>Recope</w:t>
      </w:r>
      <w:proofErr w:type="spellEnd"/>
      <w:r w:rsidR="007B511B">
        <w:rPr>
          <w:rFonts w:ascii="Arial" w:hAnsi="Arial" w:cs="Arial"/>
          <w:sz w:val="24"/>
          <w:szCs w:val="24"/>
        </w:rPr>
        <w:t xml:space="preserve">, </w:t>
      </w:r>
      <w:r w:rsidR="006D4548">
        <w:rPr>
          <w:rFonts w:ascii="Arial" w:hAnsi="Arial" w:cs="Arial"/>
          <w:sz w:val="24"/>
          <w:szCs w:val="24"/>
        </w:rPr>
        <w:t xml:space="preserve">servicios de aseguramiento del INS,  </w:t>
      </w:r>
      <w:r w:rsidR="007B511B">
        <w:rPr>
          <w:rFonts w:ascii="Arial" w:hAnsi="Arial" w:cs="Arial"/>
          <w:sz w:val="24"/>
          <w:szCs w:val="24"/>
        </w:rPr>
        <w:t xml:space="preserve">suscripciones a periódicos,  </w:t>
      </w:r>
      <w:r w:rsidR="006D4548">
        <w:rPr>
          <w:rFonts w:ascii="Arial" w:hAnsi="Arial" w:cs="Arial"/>
          <w:sz w:val="24"/>
          <w:szCs w:val="24"/>
        </w:rPr>
        <w:t xml:space="preserve">servicios de publicaciones en diarios de mayor circulación, reparaciones indeterminadas y </w:t>
      </w:r>
      <w:r w:rsidR="003012A5">
        <w:rPr>
          <w:rFonts w:ascii="Arial" w:hAnsi="Arial" w:cs="Arial"/>
          <w:sz w:val="24"/>
          <w:szCs w:val="24"/>
        </w:rPr>
        <w:t xml:space="preserve"> capacitaciones</w:t>
      </w:r>
      <w:r w:rsidR="007B511B">
        <w:rPr>
          <w:rFonts w:ascii="Arial" w:hAnsi="Arial" w:cs="Arial"/>
          <w:sz w:val="24"/>
          <w:szCs w:val="24"/>
        </w:rPr>
        <w:t xml:space="preserve"> abiertas</w:t>
      </w:r>
      <w:r w:rsidR="003012A5">
        <w:rPr>
          <w:rFonts w:ascii="Arial" w:hAnsi="Arial" w:cs="Arial"/>
          <w:sz w:val="24"/>
          <w:szCs w:val="24"/>
        </w:rPr>
        <w:t>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F50DFF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procedimientos que se tramitaron con</w:t>
      </w:r>
      <w:r w:rsidR="003012A5">
        <w:rPr>
          <w:rFonts w:ascii="Arial" w:hAnsi="Arial" w:cs="Arial"/>
          <w:sz w:val="24"/>
          <w:szCs w:val="24"/>
        </w:rPr>
        <w:t xml:space="preserve"> base en el art</w:t>
      </w:r>
      <w:r>
        <w:rPr>
          <w:rFonts w:ascii="Arial" w:hAnsi="Arial" w:cs="Arial"/>
          <w:sz w:val="24"/>
          <w:szCs w:val="24"/>
        </w:rPr>
        <w:t xml:space="preserve">ículo No.136, se realizaron </w:t>
      </w:r>
      <w:r w:rsidR="003012A5">
        <w:rPr>
          <w:rFonts w:ascii="Arial" w:hAnsi="Arial" w:cs="Arial"/>
          <w:sz w:val="24"/>
          <w:szCs w:val="24"/>
        </w:rPr>
        <w:t xml:space="preserve">debido a que los </w:t>
      </w:r>
      <w:r w:rsidR="00B43D96">
        <w:rPr>
          <w:rFonts w:ascii="Arial" w:hAnsi="Arial" w:cs="Arial"/>
          <w:sz w:val="24"/>
          <w:szCs w:val="24"/>
        </w:rPr>
        <w:t>procesos</w:t>
      </w:r>
      <w:r w:rsidR="00B43D96" w:rsidRPr="0049597C">
        <w:rPr>
          <w:rFonts w:ascii="Arial" w:hAnsi="Arial" w:cs="Arial"/>
          <w:sz w:val="24"/>
          <w:szCs w:val="24"/>
        </w:rPr>
        <w:t xml:space="preserve"> </w:t>
      </w:r>
      <w:r w:rsidR="00B43D96">
        <w:rPr>
          <w:rFonts w:ascii="Arial" w:hAnsi="Arial" w:cs="Arial"/>
          <w:sz w:val="24"/>
          <w:szCs w:val="24"/>
        </w:rPr>
        <w:t xml:space="preserve">resultaron infructuosos en el Sistema </w:t>
      </w:r>
      <w:proofErr w:type="spellStart"/>
      <w:r w:rsidR="00B43D96">
        <w:rPr>
          <w:rFonts w:ascii="Arial" w:hAnsi="Arial" w:cs="Arial"/>
          <w:sz w:val="24"/>
          <w:szCs w:val="24"/>
        </w:rPr>
        <w:t>Merlink</w:t>
      </w:r>
      <w:proofErr w:type="spellEnd"/>
      <w:r w:rsidR="003012A5">
        <w:rPr>
          <w:rFonts w:ascii="Arial" w:hAnsi="Arial" w:cs="Arial"/>
          <w:sz w:val="24"/>
          <w:szCs w:val="24"/>
        </w:rPr>
        <w:t>,</w:t>
      </w:r>
      <w:r w:rsidR="00B43D96" w:rsidRPr="0049597C">
        <w:rPr>
          <w:rFonts w:ascii="Arial" w:hAnsi="Arial" w:cs="Arial"/>
          <w:sz w:val="24"/>
          <w:szCs w:val="24"/>
        </w:rPr>
        <w:t xml:space="preserve"> dado que las contrataciones resultaron infructuosas por </w:t>
      </w:r>
      <w:r w:rsidR="00B43D96">
        <w:rPr>
          <w:rFonts w:ascii="Arial" w:hAnsi="Arial" w:cs="Arial"/>
          <w:sz w:val="24"/>
          <w:szCs w:val="24"/>
        </w:rPr>
        <w:t xml:space="preserve">la no presentación de ofertas a concursar o bien porque las que se presentaron no se ajustaban a los aspectos establecidos en el pliego de condiciones. 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BE2E90" w:rsidRPr="0049597C" w:rsidRDefault="00B43D96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2762F4" w:rsidRPr="0049597C">
        <w:rPr>
          <w:rFonts w:ascii="Arial" w:hAnsi="Arial" w:cs="Arial"/>
          <w:sz w:val="24"/>
          <w:szCs w:val="24"/>
        </w:rPr>
        <w:t>l Departamento de Proveeduría y Servicios Generales atendió según la demanda de las Unidades, por lo que este proceso se analiza en fu</w:t>
      </w:r>
      <w:r w:rsidR="006D4548">
        <w:rPr>
          <w:rFonts w:ascii="Arial" w:hAnsi="Arial" w:cs="Arial"/>
          <w:sz w:val="24"/>
          <w:szCs w:val="24"/>
        </w:rPr>
        <w:t>nción del presupuesto ejecutado.</w:t>
      </w:r>
    </w:p>
    <w:p w:rsidR="00BE2E90" w:rsidRDefault="00BE2E90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901524">
      <w:pPr>
        <w:jc w:val="both"/>
        <w:rPr>
          <w:rFonts w:ascii="Arial" w:hAnsi="Arial" w:cs="Arial"/>
          <w:sz w:val="24"/>
          <w:szCs w:val="24"/>
        </w:rPr>
      </w:pPr>
    </w:p>
    <w:p w:rsidR="001C0174" w:rsidRDefault="001C017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Detalle de contrataciones solicitadas por las diferentes unidades: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F73DBA" w:rsidRPr="003B79EE" w:rsidRDefault="00F73DBA" w:rsidP="00F73DBA">
      <w:pPr>
        <w:jc w:val="both"/>
        <w:rPr>
          <w:rFonts w:ascii="Arial" w:hAnsi="Arial" w:cs="Arial"/>
          <w:b/>
          <w:sz w:val="24"/>
          <w:szCs w:val="24"/>
        </w:rPr>
      </w:pPr>
      <w:r w:rsidRPr="003B79EE">
        <w:rPr>
          <w:rFonts w:ascii="Arial" w:hAnsi="Arial" w:cs="Arial"/>
          <w:b/>
          <w:sz w:val="24"/>
          <w:szCs w:val="24"/>
        </w:rPr>
        <w:t>Unidad de Servicios Generales</w:t>
      </w:r>
    </w:p>
    <w:p w:rsidR="00F73DBA" w:rsidRPr="003B79EE" w:rsidRDefault="00F73DBA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F73DBA" w:rsidTr="001620A0">
        <w:trPr>
          <w:trHeight w:val="537"/>
        </w:trPr>
        <w:tc>
          <w:tcPr>
            <w:tcW w:w="6062" w:type="dxa"/>
          </w:tcPr>
          <w:p w:rsidR="00F73DBA" w:rsidRPr="003E00DE" w:rsidRDefault="00F73DBA" w:rsidP="00F73D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F73DBA" w:rsidRPr="003E00DE" w:rsidRDefault="00F73DBA" w:rsidP="009015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DBA" w:rsidRDefault="00F73DBA" w:rsidP="00F73DB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F73DBA" w:rsidTr="001620A0">
        <w:trPr>
          <w:trHeight w:val="821"/>
        </w:trPr>
        <w:tc>
          <w:tcPr>
            <w:tcW w:w="6062" w:type="dxa"/>
          </w:tcPr>
          <w:p w:rsidR="00F73DBA" w:rsidRDefault="008010CD" w:rsidP="00801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05C8F">
              <w:rPr>
                <w:rFonts w:ascii="Arial" w:hAnsi="Arial" w:cs="Arial"/>
                <w:sz w:val="24"/>
                <w:szCs w:val="24"/>
              </w:rPr>
              <w:t>Diseño de cableado de sistema de detección de incendios, estudio de demanda y consumo eléctrico para determinar la capacidad requerida de paneles fotovoltaicos para cogeneración eléctrica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bookmarkStart w:id="0" w:name="_GoBack"/>
            <w:bookmarkEnd w:id="0"/>
          </w:p>
        </w:tc>
        <w:tc>
          <w:tcPr>
            <w:tcW w:w="2126" w:type="dxa"/>
          </w:tcPr>
          <w:p w:rsidR="00F73DBA" w:rsidRPr="00D44E17" w:rsidRDefault="00FF40A0" w:rsidP="00F73D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69"/>
        </w:trPr>
        <w:tc>
          <w:tcPr>
            <w:tcW w:w="6062" w:type="dxa"/>
          </w:tcPr>
          <w:p w:rsidR="00FF40A0" w:rsidRDefault="00FF40A0" w:rsidP="00901524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 mantenimiento preventivo de vehículos (en sistema de frenos, dirección y suspensión, aire acondicionado, líquidos lubricantes).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69"/>
        </w:trPr>
        <w:tc>
          <w:tcPr>
            <w:tcW w:w="6062" w:type="dxa"/>
          </w:tcPr>
          <w:p w:rsidR="00FF40A0" w:rsidRDefault="00FF40A0" w:rsidP="008010CD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de sillas ergonómicas (procedimiento entrega según demanda)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de equipo de fotocopiado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del sistema fijo  de supresión de incendios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sistema detección de incendios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planta generadora de emergencia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para unidades de aire acondicionado</w:t>
            </w:r>
          </w:p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para puerta automática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para sistema CCTV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herramientas eléctricas (sopladora, medidor de longitud láser, multímetro)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productos en PVC.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luminarias todo tipo y cable eléctrico.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control ecológico de plaga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para barreras automáticas.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preventivo para pararrayos.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pinturas.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llantas, baterías para vehículos.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madera (reglas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metálicos (perfiles)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minerales y asfálticos (agregados)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299">
              <w:rPr>
                <w:rFonts w:ascii="Arial" w:hAnsi="Arial" w:cs="Arial"/>
                <w:sz w:val="24"/>
                <w:szCs w:val="24"/>
              </w:rPr>
              <w:t>Adquisición de estantería metálica para la Bodega de Suministros y Materiales de Oficina,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Pr="00692299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2E6">
              <w:rPr>
                <w:rFonts w:ascii="Arial" w:hAnsi="Arial" w:cs="Arial"/>
                <w:sz w:val="24"/>
                <w:szCs w:val="24"/>
              </w:rPr>
              <w:t xml:space="preserve">Adquisición de </w:t>
            </w:r>
            <w:r>
              <w:rPr>
                <w:rFonts w:ascii="Arial" w:hAnsi="Arial" w:cs="Arial"/>
                <w:sz w:val="24"/>
                <w:szCs w:val="24"/>
              </w:rPr>
              <w:t xml:space="preserve">un vehículo adaptado para movilidad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reducida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lastRenderedPageBreak/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Pr="00CF02E6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Adquisición de dos extractores para baño.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1620A0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triturada de hojas</w:t>
            </w:r>
          </w:p>
        </w:tc>
        <w:tc>
          <w:tcPr>
            <w:tcW w:w="2126" w:type="dxa"/>
          </w:tcPr>
          <w:p w:rsidR="00FF40A0" w:rsidRDefault="00FF40A0" w:rsidP="00FF40A0">
            <w:pPr>
              <w:jc w:val="center"/>
            </w:pPr>
            <w:r w:rsidRPr="005751FE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6F7AE4" w:rsidTr="001620A0">
        <w:trPr>
          <w:trHeight w:val="284"/>
        </w:trPr>
        <w:tc>
          <w:tcPr>
            <w:tcW w:w="6062" w:type="dxa"/>
          </w:tcPr>
          <w:p w:rsidR="006F7AE4" w:rsidRDefault="006F7A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racks y lonas para vehículo</w:t>
            </w:r>
          </w:p>
        </w:tc>
        <w:tc>
          <w:tcPr>
            <w:tcW w:w="2126" w:type="dxa"/>
          </w:tcPr>
          <w:p w:rsidR="006F7AE4" w:rsidRDefault="006F7AE4" w:rsidP="006F7AE4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 w:rsidR="00FF40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6F7AE4" w:rsidTr="001620A0">
        <w:trPr>
          <w:trHeight w:val="284"/>
        </w:trPr>
        <w:tc>
          <w:tcPr>
            <w:tcW w:w="6062" w:type="dxa"/>
          </w:tcPr>
          <w:p w:rsidR="006F7AE4" w:rsidRDefault="006F7A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de edificio (pintura, repellos, construcción de un alero).</w:t>
            </w:r>
          </w:p>
        </w:tc>
        <w:tc>
          <w:tcPr>
            <w:tcW w:w="2126" w:type="dxa"/>
          </w:tcPr>
          <w:p w:rsidR="006F7AE4" w:rsidRDefault="006F7AE4" w:rsidP="006F7AE4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 w:rsidR="00FF40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DA4C43" w:rsidRDefault="00DB42F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DB42FC">
        <w:rPr>
          <w:rFonts w:ascii="Arial" w:hAnsi="Arial" w:cs="Arial"/>
          <w:b/>
          <w:sz w:val="24"/>
          <w:szCs w:val="24"/>
        </w:rPr>
        <w:t>Unidad de Prensa</w:t>
      </w:r>
    </w:p>
    <w:p w:rsidR="00DA4C43" w:rsidRPr="00DB42FC" w:rsidRDefault="00DA4C43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DB42FC" w:rsidTr="00C049C5">
        <w:trPr>
          <w:trHeight w:val="284"/>
        </w:trPr>
        <w:tc>
          <w:tcPr>
            <w:tcW w:w="6062" w:type="dxa"/>
          </w:tcPr>
          <w:p w:rsidR="00DB42FC" w:rsidRDefault="00DB42FC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servicios de monitoreo</w:t>
            </w:r>
            <w:r w:rsidR="00680F4B">
              <w:rPr>
                <w:rFonts w:ascii="Arial" w:hAnsi="Arial" w:cs="Arial"/>
                <w:sz w:val="24"/>
                <w:szCs w:val="24"/>
              </w:rPr>
              <w:t xml:space="preserve"> de noticias</w:t>
            </w:r>
          </w:p>
        </w:tc>
        <w:tc>
          <w:tcPr>
            <w:tcW w:w="2126" w:type="dxa"/>
          </w:tcPr>
          <w:p w:rsidR="00DB42FC" w:rsidRDefault="00DB42FC" w:rsidP="00C049C5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 w:rsidR="00FF40A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FF40A0">
        <w:rPr>
          <w:rFonts w:ascii="Arial" w:hAnsi="Arial" w:cs="Arial"/>
          <w:b/>
          <w:sz w:val="24"/>
          <w:szCs w:val="24"/>
        </w:rPr>
        <w:t>Unidad de Archivo y Correspondencia</w:t>
      </w:r>
    </w:p>
    <w:p w:rsidR="00FF40A0" w:rsidRP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FF40A0" w:rsidTr="00C049C5">
        <w:trPr>
          <w:trHeight w:val="284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servicios postales</w:t>
            </w:r>
          </w:p>
        </w:tc>
        <w:tc>
          <w:tcPr>
            <w:tcW w:w="2126" w:type="dxa"/>
          </w:tcPr>
          <w:p w:rsidR="00FF40A0" w:rsidRDefault="00FF40A0" w:rsidP="00C049C5">
            <w:pPr>
              <w:jc w:val="center"/>
            </w:pPr>
            <w:r w:rsidRPr="00D45891">
              <w:rPr>
                <w:rFonts w:ascii="Arial" w:hAnsi="Arial" w:cs="Arial"/>
                <w:sz w:val="24"/>
                <w:szCs w:val="24"/>
              </w:rPr>
              <w:t>100</w:t>
            </w:r>
            <w:r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</w:tbl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FF40A0" w:rsidRDefault="00FF40A0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3E00DE" w:rsidRDefault="003E00DE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3E00DE">
        <w:rPr>
          <w:rFonts w:ascii="Arial" w:hAnsi="Arial" w:cs="Arial"/>
          <w:b/>
          <w:sz w:val="24"/>
          <w:szCs w:val="24"/>
        </w:rPr>
        <w:t>Unidad de Arquitectura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3E00DE" w:rsidTr="00C3171A">
        <w:trPr>
          <w:trHeight w:val="537"/>
        </w:trPr>
        <w:tc>
          <w:tcPr>
            <w:tcW w:w="6062" w:type="dxa"/>
          </w:tcPr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3E00DE" w:rsidRP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E00DE" w:rsidRDefault="003E00DE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FF40A0" w:rsidTr="00C3171A">
        <w:trPr>
          <w:trHeight w:val="821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Reparación de escaleras de caracol</w:t>
            </w:r>
          </w:p>
        </w:tc>
        <w:tc>
          <w:tcPr>
            <w:tcW w:w="2126" w:type="dxa"/>
          </w:tcPr>
          <w:p w:rsidR="00FF40A0" w:rsidRPr="00EE789C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C3171A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Persianas para la Oficina Regional de Limón</w:t>
            </w:r>
          </w:p>
        </w:tc>
        <w:tc>
          <w:tcPr>
            <w:tcW w:w="2126" w:type="dxa"/>
          </w:tcPr>
          <w:p w:rsidR="00FF40A0" w:rsidRPr="00471FA6" w:rsidRDefault="00FF40A0" w:rsidP="00C317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1FA6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Tr="00C3171A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Ventanas corredizas para el edificio central de la institución en Barrio México</w:t>
            </w:r>
          </w:p>
        </w:tc>
        <w:tc>
          <w:tcPr>
            <w:tcW w:w="2126" w:type="dxa"/>
          </w:tcPr>
          <w:p w:rsidR="00FF40A0" w:rsidRPr="00FF2544" w:rsidRDefault="00471FA6" w:rsidP="00C3171A">
            <w:pPr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471FA6">
              <w:rPr>
                <w:rFonts w:ascii="Arial" w:hAnsi="Arial" w:cs="Arial"/>
                <w:sz w:val="24"/>
                <w:szCs w:val="24"/>
              </w:rPr>
              <w:t>0</w:t>
            </w:r>
            <w:r w:rsidR="00FF40A0" w:rsidRPr="00471FA6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FF40A0" w:rsidRPr="00EE789C" w:rsidTr="00C3171A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Asfalto de parqueo de la Bodega</w:t>
            </w:r>
          </w:p>
        </w:tc>
        <w:tc>
          <w:tcPr>
            <w:tcW w:w="2126" w:type="dxa"/>
          </w:tcPr>
          <w:p w:rsidR="00FF40A0" w:rsidRPr="00EE789C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RPr="00A06F69" w:rsidTr="00C3171A">
        <w:trPr>
          <w:trHeight w:val="269"/>
        </w:trPr>
        <w:tc>
          <w:tcPr>
            <w:tcW w:w="6062" w:type="dxa"/>
          </w:tcPr>
          <w:p w:rsidR="00FF40A0" w:rsidRDefault="00FF40A0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Estaciones de trabajo</w:t>
            </w:r>
          </w:p>
        </w:tc>
        <w:tc>
          <w:tcPr>
            <w:tcW w:w="2126" w:type="dxa"/>
          </w:tcPr>
          <w:p w:rsidR="00FF40A0" w:rsidRPr="0042078D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2078D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FF40A0" w:rsidRPr="00EE789C" w:rsidTr="00C3171A">
        <w:trPr>
          <w:trHeight w:val="269"/>
        </w:trPr>
        <w:tc>
          <w:tcPr>
            <w:tcW w:w="6062" w:type="dxa"/>
          </w:tcPr>
          <w:p w:rsidR="00FF40A0" w:rsidRDefault="00FF40A0" w:rsidP="00FF4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Alquiler de local para oficina del Mecanismo </w:t>
            </w:r>
            <w:r w:rsidRPr="00FD32D2">
              <w:rPr>
                <w:rFonts w:ascii="Arial" w:hAnsi="Arial" w:cs="Arial"/>
                <w:sz w:val="24"/>
                <w:szCs w:val="24"/>
              </w:rPr>
              <w:t>Nacional de Supervisión de la Convención Sobre los Derechos de las Personas con Discapacidad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F40A0" w:rsidRPr="00987631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987631">
              <w:rPr>
                <w:rFonts w:ascii="Arial" w:hAnsi="Arial" w:cs="Arial"/>
                <w:sz w:val="24"/>
                <w:szCs w:val="24"/>
              </w:rPr>
              <w:t>0%</w:t>
            </w:r>
          </w:p>
        </w:tc>
      </w:tr>
      <w:tr w:rsidR="00FF40A0" w:rsidRPr="00EE789C" w:rsidTr="00C3171A">
        <w:trPr>
          <w:trHeight w:val="269"/>
        </w:trPr>
        <w:tc>
          <w:tcPr>
            <w:tcW w:w="6062" w:type="dxa"/>
          </w:tcPr>
          <w:p w:rsidR="00FF40A0" w:rsidRDefault="00FF40A0" w:rsidP="00FF40A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Contratación de servicios de instalación eléctrica e instalación de piso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porcelanato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FF40A0" w:rsidRPr="00987631" w:rsidRDefault="00FF40A0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EE789C" w:rsidRPr="00EE789C" w:rsidRDefault="00EE789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EE789C">
        <w:rPr>
          <w:rFonts w:ascii="Arial" w:hAnsi="Arial" w:cs="Arial"/>
          <w:b/>
          <w:sz w:val="24"/>
          <w:szCs w:val="24"/>
        </w:rPr>
        <w:t>Unidad de Salud Ocupacional</w:t>
      </w:r>
      <w:r w:rsidR="00B66186">
        <w:rPr>
          <w:rFonts w:ascii="Arial" w:hAnsi="Arial" w:cs="Arial"/>
          <w:b/>
          <w:sz w:val="24"/>
          <w:szCs w:val="24"/>
        </w:rPr>
        <w:t xml:space="preserve"> y Médica</w:t>
      </w: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EE789C" w:rsidTr="00C3171A">
        <w:trPr>
          <w:trHeight w:val="537"/>
        </w:trPr>
        <w:tc>
          <w:tcPr>
            <w:tcW w:w="6062" w:type="dxa"/>
          </w:tcPr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EE789C" w:rsidRPr="003E00DE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EE789C" w:rsidRDefault="00EE789C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B66186" w:rsidTr="00C3171A">
        <w:trPr>
          <w:trHeight w:val="821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recarga e inspección de extintores portátiles contra incendio, como parte del mantenimiento anual.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Rótulos montados sobre láminas de PVC con mensaje y pictogramas en vinil adhesivo para señalización según reglamentación en Salud Ocupacional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Actividades de capacitación 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Polarizado de vidrios</w:t>
            </w:r>
          </w:p>
        </w:tc>
        <w:tc>
          <w:tcPr>
            <w:tcW w:w="2126" w:type="dxa"/>
          </w:tcPr>
          <w:p w:rsidR="00B66186" w:rsidRPr="00EE789C" w:rsidRDefault="00B66186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Descansa pies </w:t>
            </w:r>
          </w:p>
        </w:tc>
        <w:tc>
          <w:tcPr>
            <w:tcW w:w="2126" w:type="dxa"/>
          </w:tcPr>
          <w:p w:rsidR="00B66186" w:rsidRDefault="00343BB0" w:rsidP="00EE789C">
            <w:pPr>
              <w:jc w:val="center"/>
            </w:pPr>
            <w:r w:rsidRPr="00343BB0">
              <w:rPr>
                <w:rFonts w:ascii="Arial" w:hAnsi="Arial" w:cs="Arial"/>
                <w:sz w:val="24"/>
                <w:szCs w:val="24"/>
              </w:rPr>
              <w:t>0</w:t>
            </w:r>
            <w:r w:rsidR="00B66186" w:rsidRPr="00343BB0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Mangueras para sistema contra incendios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Vacunas contra la influenza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Medicamentos varios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Prendas de identificación para brigadistas de evacuación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Compra de  extintores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Jeringas y otros materiales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Equipamiento médico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recarga e inspección de extintores portátiles contra incendio, como parte del mantenimiento anual.</w:t>
            </w:r>
          </w:p>
        </w:tc>
        <w:tc>
          <w:tcPr>
            <w:tcW w:w="2126" w:type="dxa"/>
          </w:tcPr>
          <w:p w:rsidR="00B66186" w:rsidRDefault="00B66186" w:rsidP="00EE789C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B66186" w:rsidRPr="00EE789C" w:rsidTr="00C3171A">
        <w:trPr>
          <w:trHeight w:val="269"/>
        </w:trPr>
        <w:tc>
          <w:tcPr>
            <w:tcW w:w="6062" w:type="dxa"/>
          </w:tcPr>
          <w:p w:rsidR="00B66186" w:rsidRDefault="00B66186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299">
              <w:rPr>
                <w:rFonts w:ascii="Arial" w:hAnsi="Arial" w:cs="Arial"/>
                <w:sz w:val="24"/>
                <w:szCs w:val="24"/>
              </w:rPr>
              <w:t>Adquisición de puntos ecológicos para las Oficinas Regionales</w:t>
            </w:r>
          </w:p>
        </w:tc>
        <w:tc>
          <w:tcPr>
            <w:tcW w:w="2126" w:type="dxa"/>
          </w:tcPr>
          <w:p w:rsidR="00B66186" w:rsidRDefault="008038B7" w:rsidP="00EE789C">
            <w:pPr>
              <w:jc w:val="center"/>
            </w:pPr>
            <w:r w:rsidRPr="008038B7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C7537A" w:rsidRDefault="00C7537A" w:rsidP="00901524">
      <w:pPr>
        <w:jc w:val="both"/>
        <w:rPr>
          <w:rFonts w:ascii="Arial" w:hAnsi="Arial" w:cs="Arial"/>
          <w:sz w:val="24"/>
          <w:szCs w:val="24"/>
        </w:rPr>
      </w:pPr>
    </w:p>
    <w:p w:rsidR="00C7537A" w:rsidRPr="00710FDC" w:rsidRDefault="00C7537A" w:rsidP="00901524">
      <w:pPr>
        <w:jc w:val="both"/>
        <w:rPr>
          <w:rFonts w:ascii="Arial" w:hAnsi="Arial" w:cs="Arial"/>
          <w:b/>
          <w:sz w:val="24"/>
          <w:szCs w:val="24"/>
        </w:rPr>
      </w:pPr>
    </w:p>
    <w:p w:rsidR="003B79EE" w:rsidRPr="00710FDC" w:rsidRDefault="003A1AC7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710FDC">
        <w:rPr>
          <w:rFonts w:ascii="Arial" w:hAnsi="Arial" w:cs="Arial"/>
          <w:b/>
          <w:sz w:val="24"/>
          <w:szCs w:val="24"/>
        </w:rPr>
        <w:t>Unidad de Informática</w:t>
      </w:r>
    </w:p>
    <w:p w:rsidR="003A1AC7" w:rsidRDefault="003A1AC7" w:rsidP="00901524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C7537A" w:rsidTr="00C3171A">
        <w:trPr>
          <w:trHeight w:val="537"/>
        </w:trPr>
        <w:tc>
          <w:tcPr>
            <w:tcW w:w="6062" w:type="dxa"/>
          </w:tcPr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E00DE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  <w:p w:rsidR="00C7537A" w:rsidRPr="003E00DE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C7537A" w:rsidRDefault="00C7537A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Tr="00C3171A">
        <w:trPr>
          <w:trHeight w:val="821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hospedaje web.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telefonía y central telefónica en la nube.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y programas de cómputo (impresoras láser de alto rendimiento y computadoras portátiles. Software).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</w:t>
            </w:r>
            <w:r w:rsidRPr="00EE789C">
              <w:rPr>
                <w:rFonts w:ascii="Arial" w:hAnsi="Arial" w:cs="Arial"/>
                <w:sz w:val="24"/>
                <w:szCs w:val="24"/>
              </w:rPr>
              <w:t>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Equipo de oficina (escáner de alto rendimiento).</w:t>
            </w:r>
          </w:p>
        </w:tc>
        <w:tc>
          <w:tcPr>
            <w:tcW w:w="2126" w:type="dxa"/>
          </w:tcPr>
          <w:p w:rsidR="00A73CE4" w:rsidRPr="00EE789C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E789C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A73C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2E6">
              <w:rPr>
                <w:rFonts w:ascii="Arial" w:hAnsi="Arial" w:cs="Arial"/>
                <w:sz w:val="24"/>
                <w:szCs w:val="24"/>
              </w:rPr>
              <w:t xml:space="preserve">Adquisición de 10 convertidores de medios </w:t>
            </w:r>
            <w:proofErr w:type="spellStart"/>
            <w:r w:rsidRPr="00CF02E6">
              <w:rPr>
                <w:rFonts w:ascii="Arial" w:hAnsi="Arial" w:cs="Arial"/>
                <w:sz w:val="24"/>
                <w:szCs w:val="24"/>
              </w:rPr>
              <w:t>multimodo</w:t>
            </w:r>
            <w:proofErr w:type="spellEnd"/>
            <w:r w:rsidRPr="00CF02E6">
              <w:rPr>
                <w:rFonts w:ascii="Arial" w:hAnsi="Arial" w:cs="Arial"/>
                <w:sz w:val="24"/>
                <w:szCs w:val="24"/>
              </w:rPr>
              <w:t xml:space="preserve"> de fibra óptica/Ethernet 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Pr="00CF02E6" w:rsidRDefault="00A73CE4" w:rsidP="00C3171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F02E6">
              <w:rPr>
                <w:rFonts w:ascii="Arial" w:hAnsi="Arial" w:cs="Arial"/>
                <w:sz w:val="24"/>
                <w:szCs w:val="24"/>
              </w:rPr>
              <w:t>Adquisición de una suscripción a plataforma de Datos Abiertos en la Nube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A73CE4" w:rsidRPr="001C7CDF" w:rsidRDefault="00A73CE4" w:rsidP="00C317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73CE4" w:rsidRDefault="00A73CE4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3B79EE" w:rsidP="00901524">
      <w:pPr>
        <w:jc w:val="both"/>
        <w:rPr>
          <w:rFonts w:ascii="Arial" w:hAnsi="Arial" w:cs="Arial"/>
          <w:sz w:val="24"/>
          <w:szCs w:val="24"/>
        </w:rPr>
      </w:pPr>
    </w:p>
    <w:p w:rsidR="003B79EE" w:rsidRDefault="00A06F69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A06F69">
        <w:rPr>
          <w:rFonts w:ascii="Arial" w:hAnsi="Arial" w:cs="Arial"/>
          <w:b/>
          <w:sz w:val="24"/>
          <w:szCs w:val="24"/>
        </w:rPr>
        <w:t>Unidad de Proveeduría Bodega de Suministros y Materiales</w:t>
      </w:r>
    </w:p>
    <w:p w:rsidR="00A06F69" w:rsidRPr="00A06F69" w:rsidRDefault="00A06F69" w:rsidP="00901524">
      <w:pPr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6062"/>
        <w:gridCol w:w="2126"/>
      </w:tblGrid>
      <w:tr w:rsidR="00A06F69" w:rsidRPr="00A06F69" w:rsidTr="00C3171A">
        <w:trPr>
          <w:trHeight w:val="269"/>
        </w:trPr>
        <w:tc>
          <w:tcPr>
            <w:tcW w:w="6062" w:type="dxa"/>
          </w:tcPr>
          <w:p w:rsidR="00A06F69" w:rsidRPr="00A06F69" w:rsidRDefault="00A06F69" w:rsidP="00C3171A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Descripción del Procedimiento</w:t>
            </w:r>
          </w:p>
        </w:tc>
        <w:tc>
          <w:tcPr>
            <w:tcW w:w="2126" w:type="dxa"/>
          </w:tcPr>
          <w:p w:rsidR="00A06F69" w:rsidRPr="00A06F69" w:rsidRDefault="00A06F69" w:rsidP="00C3171A">
            <w:pPr>
              <w:jc w:val="center"/>
              <w:rPr>
                <w:b/>
              </w:rPr>
            </w:pPr>
            <w:r w:rsidRPr="00A06F69">
              <w:rPr>
                <w:rFonts w:ascii="Arial" w:hAnsi="Arial" w:cs="Arial"/>
                <w:b/>
                <w:sz w:val="24"/>
                <w:szCs w:val="24"/>
              </w:rPr>
              <w:t>%Cumplimiento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de oficina y de cómputo.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C7CDF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Tintas,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 cintas para impresoras, fotocopiadoras, reloj para correspondencia.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Productos de papel y cartón.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Servicios de alimentación para actividades protocolarias y sociales.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impresión.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bebidas (azúcar, crema, café, galletas).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  <w:tr w:rsidR="00A73CE4" w:rsidRPr="00EE789C" w:rsidTr="00C3171A">
        <w:trPr>
          <w:trHeight w:val="269"/>
        </w:trPr>
        <w:tc>
          <w:tcPr>
            <w:tcW w:w="6062" w:type="dxa"/>
          </w:tcPr>
          <w:p w:rsidR="00A73CE4" w:rsidRDefault="00A73CE4" w:rsidP="00C049C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Útiles y materiales de limpieza.</w:t>
            </w:r>
          </w:p>
        </w:tc>
        <w:tc>
          <w:tcPr>
            <w:tcW w:w="2126" w:type="dxa"/>
          </w:tcPr>
          <w:p w:rsidR="00A73CE4" w:rsidRDefault="00A73CE4" w:rsidP="00C3171A">
            <w:pPr>
              <w:jc w:val="center"/>
            </w:pPr>
            <w:r w:rsidRPr="001311D4">
              <w:rPr>
                <w:rFonts w:ascii="Arial" w:hAnsi="Arial" w:cs="Arial"/>
                <w:sz w:val="24"/>
                <w:szCs w:val="24"/>
              </w:rPr>
              <w:t>100%</w:t>
            </w:r>
          </w:p>
        </w:tc>
      </w:tr>
    </w:tbl>
    <w:p w:rsidR="00A06F69" w:rsidRDefault="00A06F69" w:rsidP="00901524">
      <w:pPr>
        <w:jc w:val="both"/>
        <w:rPr>
          <w:rFonts w:ascii="Arial" w:hAnsi="Arial" w:cs="Arial"/>
          <w:sz w:val="24"/>
          <w:szCs w:val="24"/>
        </w:rPr>
      </w:pPr>
    </w:p>
    <w:p w:rsidR="00A06F69" w:rsidRDefault="00A06F69" w:rsidP="00901524">
      <w:pPr>
        <w:jc w:val="both"/>
        <w:rPr>
          <w:rFonts w:ascii="Arial" w:hAnsi="Arial" w:cs="Arial"/>
          <w:sz w:val="24"/>
          <w:szCs w:val="24"/>
        </w:rPr>
      </w:pPr>
    </w:p>
    <w:p w:rsidR="00CC57FC" w:rsidRPr="00CC57FC" w:rsidRDefault="00CC57FC" w:rsidP="00901524">
      <w:pPr>
        <w:jc w:val="both"/>
        <w:rPr>
          <w:rFonts w:ascii="Arial" w:hAnsi="Arial" w:cs="Arial"/>
          <w:b/>
          <w:sz w:val="24"/>
          <w:szCs w:val="24"/>
        </w:rPr>
      </w:pPr>
      <w:r w:rsidRPr="00CC57FC">
        <w:rPr>
          <w:rFonts w:ascii="Arial" w:hAnsi="Arial" w:cs="Arial"/>
          <w:b/>
          <w:sz w:val="24"/>
          <w:szCs w:val="24"/>
        </w:rPr>
        <w:t>Conclusión</w:t>
      </w:r>
    </w:p>
    <w:p w:rsidR="00CC57FC" w:rsidRDefault="00CC57F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Default="00710FD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general las Unidades Solicitantes ejecutaron las compras proyectadas en el </w:t>
      </w:r>
      <w:r w:rsidR="00901524" w:rsidRPr="0049597C">
        <w:rPr>
          <w:rFonts w:ascii="Arial" w:hAnsi="Arial" w:cs="Arial"/>
          <w:sz w:val="24"/>
          <w:szCs w:val="24"/>
        </w:rPr>
        <w:t>Programa de Adquisiciones</w:t>
      </w:r>
      <w:r>
        <w:rPr>
          <w:rFonts w:ascii="Arial" w:hAnsi="Arial" w:cs="Arial"/>
          <w:sz w:val="24"/>
          <w:szCs w:val="24"/>
        </w:rPr>
        <w:t>, sin embargo no se ajustaron a los</w:t>
      </w:r>
      <w:r w:rsidR="00901524" w:rsidRPr="0049597C">
        <w:rPr>
          <w:rFonts w:ascii="Arial" w:hAnsi="Arial" w:cs="Arial"/>
          <w:sz w:val="24"/>
          <w:szCs w:val="24"/>
        </w:rPr>
        <w:t xml:space="preserve"> plazos establecid</w:t>
      </w:r>
      <w:r>
        <w:rPr>
          <w:rFonts w:ascii="Arial" w:hAnsi="Arial" w:cs="Arial"/>
          <w:sz w:val="24"/>
          <w:szCs w:val="24"/>
        </w:rPr>
        <w:t>os para la ejecución de los procedimientos, a pesar de que la Jefatura del Departamento de Proveeduría y Servicios Generales monitoreó</w:t>
      </w:r>
      <w:r w:rsidR="00CC57FC">
        <w:rPr>
          <w:rFonts w:ascii="Arial" w:hAnsi="Arial" w:cs="Arial"/>
          <w:sz w:val="24"/>
          <w:szCs w:val="24"/>
        </w:rPr>
        <w:t xml:space="preserve"> y dio seguimiento</w:t>
      </w:r>
      <w:r>
        <w:rPr>
          <w:rFonts w:ascii="Arial" w:hAnsi="Arial" w:cs="Arial"/>
          <w:sz w:val="24"/>
          <w:szCs w:val="24"/>
        </w:rPr>
        <w:t xml:space="preserve"> mes a mes el cumplimiento del Programa de Adquisiciones e informaba y recordaba vía correo electrónico al responsable de la ejecución</w:t>
      </w:r>
      <w:r w:rsidR="00071E85">
        <w:rPr>
          <w:rFonts w:ascii="Arial" w:hAnsi="Arial" w:cs="Arial"/>
          <w:sz w:val="24"/>
          <w:szCs w:val="24"/>
        </w:rPr>
        <w:t>, así como</w:t>
      </w:r>
      <w:r>
        <w:rPr>
          <w:rFonts w:ascii="Arial" w:hAnsi="Arial" w:cs="Arial"/>
          <w:sz w:val="24"/>
          <w:szCs w:val="24"/>
        </w:rPr>
        <w:t xml:space="preserve"> al Director Administrativo y al Departamento de Planificación. 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CC57FC" w:rsidRDefault="00CC57F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propone como mejora que las unidades ejecuten las contrataciones proyectadas en el período estimado para iniciar e</w:t>
      </w:r>
      <w:r w:rsidR="003A195C">
        <w:rPr>
          <w:rFonts w:ascii="Arial" w:hAnsi="Arial" w:cs="Arial"/>
          <w:sz w:val="24"/>
          <w:szCs w:val="24"/>
        </w:rPr>
        <w:t>l procedimiento de contratación por tal motivo el Departamento de Proveeduría comunicará a las Unidades Solicitantes las fechas máximas para presentar las respectivas solicitudes de contratación de acuerdo con el tipo de procedimiento y realizará recordatorios de estas fechas en el transcurso del año 2017.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considera que el Departamento de Proveeduría y Servicios Generales durante el año 2016 atendió satisfactoriamente los procesos de contratación lo cual coadyuvó para que se cumpliera </w:t>
      </w:r>
      <w:r w:rsidR="004D28D7">
        <w:rPr>
          <w:rFonts w:ascii="Arial" w:hAnsi="Arial" w:cs="Arial"/>
          <w:sz w:val="24"/>
          <w:szCs w:val="24"/>
        </w:rPr>
        <w:t>con el plan de adquisiciones de este año.</w:t>
      </w:r>
    </w:p>
    <w:p w:rsidR="003A195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3A195C" w:rsidRPr="0049597C" w:rsidRDefault="003A195C" w:rsidP="00901524">
      <w:pPr>
        <w:jc w:val="both"/>
        <w:rPr>
          <w:rFonts w:ascii="Arial" w:hAnsi="Arial" w:cs="Arial"/>
          <w:sz w:val="24"/>
          <w:szCs w:val="24"/>
        </w:rPr>
      </w:pPr>
    </w:p>
    <w:p w:rsidR="00901524" w:rsidRPr="0049597C" w:rsidRDefault="00901524" w:rsidP="00171392">
      <w:pPr>
        <w:jc w:val="both"/>
        <w:rPr>
          <w:rFonts w:ascii="Arial" w:hAnsi="Arial" w:cs="Arial"/>
          <w:sz w:val="24"/>
          <w:szCs w:val="24"/>
        </w:rPr>
      </w:pPr>
    </w:p>
    <w:sectPr w:rsidR="00901524" w:rsidRPr="0049597C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08" w:rsidRDefault="00B93308" w:rsidP="0049597C">
      <w:r>
        <w:separator/>
      </w:r>
    </w:p>
  </w:endnote>
  <w:endnote w:type="continuationSeparator" w:id="0">
    <w:p w:rsidR="00B93308" w:rsidRDefault="00B93308" w:rsidP="0049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08" w:rsidRDefault="00B93308" w:rsidP="0049597C">
      <w:r>
        <w:separator/>
      </w:r>
    </w:p>
  </w:footnote>
  <w:footnote w:type="continuationSeparator" w:id="0">
    <w:p w:rsidR="00B93308" w:rsidRDefault="00B93308" w:rsidP="004959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7902"/>
      <w:gridCol w:w="1152"/>
    </w:tblGrid>
    <w:tr w:rsidR="0049597C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ñía"/>
            <w:id w:val="78735422"/>
            <w:placeholder>
              <w:docPart w:val="40B4E33243244469905C362504FA842E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:rsidR="0049597C" w:rsidRDefault="0049597C">
              <w:pPr>
                <w:pStyle w:val="Encabezado"/>
                <w:jc w:val="right"/>
              </w:pPr>
              <w:r>
                <w:t>Departamento de Proveeduría y Servicios Generales</w:t>
              </w:r>
            </w:p>
          </w:sdtContent>
        </w:sdt>
        <w:sdt>
          <w:sdtPr>
            <w:rPr>
              <w:b/>
              <w:bCs/>
            </w:rPr>
            <w:alias w:val="Título"/>
            <w:id w:val="78735415"/>
            <w:placeholder>
              <w:docPart w:val="1B7F89A382A8458AAEF995DA556FC871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:rsidR="0049597C" w:rsidRDefault="0049597C" w:rsidP="0049597C">
              <w:pPr>
                <w:pStyle w:val="Encabezado"/>
                <w:jc w:val="right"/>
                <w:rPr>
                  <w:b/>
                  <w:bCs/>
                </w:rPr>
              </w:pPr>
              <w:r>
                <w:rPr>
                  <w:b/>
                  <w:bCs/>
                </w:rPr>
                <w:t>Evaluación de Cumplimient</w:t>
              </w:r>
              <w:r w:rsidR="00A36547">
                <w:rPr>
                  <w:b/>
                  <w:bCs/>
                </w:rPr>
                <w:t>o Programa de Adquisiciones 2016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:rsidR="0049597C" w:rsidRDefault="0049597C">
          <w:pPr>
            <w:pStyle w:val="Encabezado"/>
            <w:rPr>
              <w:b/>
              <w:bCs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6C03A5" w:rsidRPr="006C03A5">
            <w:rPr>
              <w:noProof/>
              <w:lang w:val="es-ES"/>
            </w:rPr>
            <w:t>5</w:t>
          </w:r>
          <w:r>
            <w:fldChar w:fldCharType="end"/>
          </w:r>
        </w:p>
      </w:tc>
    </w:tr>
  </w:tbl>
  <w:p w:rsidR="0049597C" w:rsidRDefault="0049597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15E"/>
    <w:rsid w:val="00013C5C"/>
    <w:rsid w:val="00061981"/>
    <w:rsid w:val="00071E85"/>
    <w:rsid w:val="00074ED0"/>
    <w:rsid w:val="00076D8F"/>
    <w:rsid w:val="00081684"/>
    <w:rsid w:val="000C7725"/>
    <w:rsid w:val="000F4D07"/>
    <w:rsid w:val="00154AE9"/>
    <w:rsid w:val="00160A00"/>
    <w:rsid w:val="001620A0"/>
    <w:rsid w:val="00171392"/>
    <w:rsid w:val="0017485E"/>
    <w:rsid w:val="00182464"/>
    <w:rsid w:val="001C0174"/>
    <w:rsid w:val="001E345C"/>
    <w:rsid w:val="001F15F5"/>
    <w:rsid w:val="0022170E"/>
    <w:rsid w:val="00272294"/>
    <w:rsid w:val="002762F4"/>
    <w:rsid w:val="00290381"/>
    <w:rsid w:val="002A0A72"/>
    <w:rsid w:val="003012A5"/>
    <w:rsid w:val="0032333F"/>
    <w:rsid w:val="00343BB0"/>
    <w:rsid w:val="00357729"/>
    <w:rsid w:val="00382E0E"/>
    <w:rsid w:val="003A195C"/>
    <w:rsid w:val="003A1AC7"/>
    <w:rsid w:val="003B79EE"/>
    <w:rsid w:val="003C5F1E"/>
    <w:rsid w:val="003E00DE"/>
    <w:rsid w:val="00413D81"/>
    <w:rsid w:val="0042078D"/>
    <w:rsid w:val="00471FA6"/>
    <w:rsid w:val="00483D15"/>
    <w:rsid w:val="0049597C"/>
    <w:rsid w:val="004A0327"/>
    <w:rsid w:val="004D28D7"/>
    <w:rsid w:val="0050443C"/>
    <w:rsid w:val="00545E88"/>
    <w:rsid w:val="00555181"/>
    <w:rsid w:val="00630C25"/>
    <w:rsid w:val="006375CE"/>
    <w:rsid w:val="00652893"/>
    <w:rsid w:val="00652AFE"/>
    <w:rsid w:val="00680F4B"/>
    <w:rsid w:val="006B6C77"/>
    <w:rsid w:val="006C03A5"/>
    <w:rsid w:val="006D4548"/>
    <w:rsid w:val="006F7629"/>
    <w:rsid w:val="006F7AE4"/>
    <w:rsid w:val="00710FDC"/>
    <w:rsid w:val="00711005"/>
    <w:rsid w:val="00727083"/>
    <w:rsid w:val="007351A2"/>
    <w:rsid w:val="00753BAB"/>
    <w:rsid w:val="00774628"/>
    <w:rsid w:val="007A45B7"/>
    <w:rsid w:val="007B511B"/>
    <w:rsid w:val="007E093C"/>
    <w:rsid w:val="007F51FD"/>
    <w:rsid w:val="008010CD"/>
    <w:rsid w:val="008038B7"/>
    <w:rsid w:val="008359C0"/>
    <w:rsid w:val="00872601"/>
    <w:rsid w:val="00874AB8"/>
    <w:rsid w:val="008C4EBF"/>
    <w:rsid w:val="00901524"/>
    <w:rsid w:val="00931F83"/>
    <w:rsid w:val="00977D0F"/>
    <w:rsid w:val="00987631"/>
    <w:rsid w:val="009C5875"/>
    <w:rsid w:val="009E1ED1"/>
    <w:rsid w:val="00A06F69"/>
    <w:rsid w:val="00A26C71"/>
    <w:rsid w:val="00A324C5"/>
    <w:rsid w:val="00A36547"/>
    <w:rsid w:val="00A73CE4"/>
    <w:rsid w:val="00A82DCD"/>
    <w:rsid w:val="00AA4749"/>
    <w:rsid w:val="00B43D96"/>
    <w:rsid w:val="00B44AEE"/>
    <w:rsid w:val="00B66186"/>
    <w:rsid w:val="00B7454C"/>
    <w:rsid w:val="00B929F5"/>
    <w:rsid w:val="00B93308"/>
    <w:rsid w:val="00BB4F1A"/>
    <w:rsid w:val="00BC7D04"/>
    <w:rsid w:val="00BD7274"/>
    <w:rsid w:val="00BE2E90"/>
    <w:rsid w:val="00C7537A"/>
    <w:rsid w:val="00CB2DBB"/>
    <w:rsid w:val="00CC57FC"/>
    <w:rsid w:val="00CF5ACE"/>
    <w:rsid w:val="00D44E17"/>
    <w:rsid w:val="00D64FD3"/>
    <w:rsid w:val="00DA3874"/>
    <w:rsid w:val="00DA4C43"/>
    <w:rsid w:val="00DB42FC"/>
    <w:rsid w:val="00DF395E"/>
    <w:rsid w:val="00E416D1"/>
    <w:rsid w:val="00E51063"/>
    <w:rsid w:val="00E86A99"/>
    <w:rsid w:val="00E93C28"/>
    <w:rsid w:val="00EC242A"/>
    <w:rsid w:val="00EE789C"/>
    <w:rsid w:val="00F30478"/>
    <w:rsid w:val="00F4141F"/>
    <w:rsid w:val="00F4215E"/>
    <w:rsid w:val="00F50DFF"/>
    <w:rsid w:val="00F52A92"/>
    <w:rsid w:val="00F6043D"/>
    <w:rsid w:val="00F62838"/>
    <w:rsid w:val="00F73DBA"/>
    <w:rsid w:val="00F84AF0"/>
    <w:rsid w:val="00F91EC4"/>
    <w:rsid w:val="00FF2544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97C"/>
  </w:style>
  <w:style w:type="paragraph" w:styleId="Piedepgina">
    <w:name w:val="footer"/>
    <w:basedOn w:val="Normal"/>
    <w:link w:val="Piedepgina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7C"/>
  </w:style>
  <w:style w:type="paragraph" w:styleId="Textodeglobo">
    <w:name w:val="Balloon Text"/>
    <w:basedOn w:val="Normal"/>
    <w:link w:val="TextodegloboCar"/>
    <w:uiPriority w:val="99"/>
    <w:semiHidden/>
    <w:unhideWhenUsed/>
    <w:rsid w:val="00495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07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97C"/>
  </w:style>
  <w:style w:type="paragraph" w:styleId="Piedepgina">
    <w:name w:val="footer"/>
    <w:basedOn w:val="Normal"/>
    <w:link w:val="PiedepginaCar"/>
    <w:uiPriority w:val="99"/>
    <w:unhideWhenUsed/>
    <w:rsid w:val="0049597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97C"/>
  </w:style>
  <w:style w:type="paragraph" w:styleId="Textodeglobo">
    <w:name w:val="Balloon Text"/>
    <w:basedOn w:val="Normal"/>
    <w:link w:val="TextodegloboCar"/>
    <w:uiPriority w:val="99"/>
    <w:semiHidden/>
    <w:unhideWhenUsed/>
    <w:rsid w:val="004959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9597C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E1E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0B4E33243244469905C362504FA8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7A5A-12F1-4803-B573-DDD055EE0FAB}"/>
      </w:docPartPr>
      <w:docPartBody>
        <w:p w:rsidR="006F1B37" w:rsidRDefault="00A43906" w:rsidP="00A43906">
          <w:pPr>
            <w:pStyle w:val="40B4E33243244469905C362504FA842E"/>
          </w:pPr>
          <w:r>
            <w:rPr>
              <w:lang w:val="es-ES"/>
            </w:rPr>
            <w:t>[Escriba el nombre de la compañía]</w:t>
          </w:r>
        </w:p>
      </w:docPartBody>
    </w:docPart>
    <w:docPart>
      <w:docPartPr>
        <w:name w:val="1B7F89A382A8458AAEF995DA556FC8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EB9EED-E472-43CB-B2DF-CF9128A05D8F}"/>
      </w:docPartPr>
      <w:docPartBody>
        <w:p w:rsidR="006F1B37" w:rsidRDefault="00A43906" w:rsidP="00A43906">
          <w:pPr>
            <w:pStyle w:val="1B7F89A382A8458AAEF995DA556FC871"/>
          </w:pPr>
          <w:r>
            <w:rPr>
              <w:b/>
              <w:bCs/>
              <w:lang w:val="es-ES"/>
            </w:rPr>
            <w:t>[Escriba el 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906"/>
    <w:rsid w:val="006F1B37"/>
    <w:rsid w:val="0074464C"/>
    <w:rsid w:val="009C01F1"/>
    <w:rsid w:val="00A43906"/>
    <w:rsid w:val="00B10ED8"/>
    <w:rsid w:val="00BD1DA1"/>
    <w:rsid w:val="00DA1CB2"/>
    <w:rsid w:val="00EC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B4E33243244469905C362504FA842E">
    <w:name w:val="40B4E33243244469905C362504FA842E"/>
    <w:rsid w:val="00A43906"/>
  </w:style>
  <w:style w:type="paragraph" w:customStyle="1" w:styleId="1B7F89A382A8458AAEF995DA556FC871">
    <w:name w:val="1B7F89A382A8458AAEF995DA556FC871"/>
    <w:rsid w:val="00A4390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0B4E33243244469905C362504FA842E">
    <w:name w:val="40B4E33243244469905C362504FA842E"/>
    <w:rsid w:val="00A43906"/>
  </w:style>
  <w:style w:type="paragraph" w:customStyle="1" w:styleId="1B7F89A382A8458AAEF995DA556FC871">
    <w:name w:val="1B7F89A382A8458AAEF995DA556FC871"/>
    <w:rsid w:val="00A439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1188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Evaluación de Cumplimiento Programa de Adquisiciones 2016</vt:lpstr>
    </vt:vector>
  </TitlesOfParts>
  <Company>Departamento de Proveeduría y Servicios Generales</Company>
  <LinksUpToDate>false</LinksUpToDate>
  <CharactersWithSpaces>7707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Evaluación de Cumplimiento Programa de Adquisiciones 2016</dc:title>
  <dc:creator>Karen</dc:creator>
  <cp:lastModifiedBy>Karen</cp:lastModifiedBy>
  <cp:revision>37</cp:revision>
  <dcterms:created xsi:type="dcterms:W3CDTF">2017-01-13T16:17:00Z</dcterms:created>
  <dcterms:modified xsi:type="dcterms:W3CDTF">2017-02-09T20:18:00Z</dcterms:modified>
</cp:coreProperties>
</file>